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721624" w:rsidTr="004146CE">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30.09.2025</w:t>
            </w:r>
          </w:p>
        </w:tc>
      </w:tr>
      <w:tr w:rsidR="00721624" w:rsidTr="004146CE">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721624" w:rsidTr="004146CE">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r>
      <w:tr w:rsidR="00721624" w:rsidTr="004146CE">
        <w:tblPrEx>
          <w:tblCellMar>
            <w:top w:w="0" w:type="dxa"/>
            <w:bottom w:w="0" w:type="dxa"/>
          </w:tblCellMar>
        </w:tblPrEx>
        <w:trPr>
          <w:trHeight w:val="300"/>
        </w:trPr>
        <w:tc>
          <w:tcPr>
            <w:tcW w:w="5230" w:type="dxa"/>
            <w:tcBorders>
              <w:top w:val="nil"/>
              <w:left w:val="nil"/>
              <w:bottom w:val="nil"/>
              <w:right w:val="nil"/>
            </w:tcBorders>
            <w:vAlign w:val="bottom"/>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721624" w:rsidTr="004146CE">
        <w:tblPrEx>
          <w:tblCellMar>
            <w:top w:w="0" w:type="dxa"/>
            <w:bottom w:w="0" w:type="dxa"/>
          </w:tblCellMar>
        </w:tblPrEx>
        <w:trPr>
          <w:trHeight w:val="300"/>
        </w:trPr>
        <w:tc>
          <w:tcPr>
            <w:tcW w:w="10465" w:type="dxa"/>
            <w:tcBorders>
              <w:top w:val="nil"/>
              <w:left w:val="nil"/>
              <w:bottom w:val="nil"/>
              <w:right w:val="nil"/>
            </w:tcBorders>
            <w:vAlign w:val="bottom"/>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721624" w:rsidTr="004146CE">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Хiлько Тетяна Валерiївна</w:t>
            </w:r>
          </w:p>
        </w:tc>
      </w:tr>
      <w:tr w:rsidR="00721624" w:rsidTr="004146CE">
        <w:tblPrEx>
          <w:tblCellMar>
            <w:top w:w="0" w:type="dxa"/>
            <w:bottom w:w="0" w:type="dxa"/>
          </w:tblCellMar>
        </w:tblPrEx>
        <w:trPr>
          <w:trHeight w:val="200"/>
        </w:trPr>
        <w:tc>
          <w:tcPr>
            <w:tcW w:w="3415" w:type="dxa"/>
            <w:tcBorders>
              <w:top w:val="nil"/>
              <w:left w:val="nil"/>
              <w:bottom w:val="nil"/>
              <w:right w:val="nil"/>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0"/>
          <w:szCs w:val="20"/>
        </w:rPr>
      </w:pP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Публiчне акцiонерне товариство"Акцiонерна фiрма "Яворник" (00273695)</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2022 рік</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11.09.2025, за 2022 рiк</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721624" w:rsidTr="004146CE">
        <w:tblPrEx>
          <w:tblCellMar>
            <w:top w:w="0" w:type="dxa"/>
            <w:bottom w:w="0" w:type="dxa"/>
          </w:tblCellMar>
        </w:tblPrEx>
        <w:trPr>
          <w:trHeight w:val="300"/>
        </w:trPr>
        <w:tc>
          <w:tcPr>
            <w:tcW w:w="3415" w:type="dxa"/>
            <w:vMerge w:val="restart"/>
            <w:tcBorders>
              <w:top w:val="nil"/>
              <w:left w:val="nil"/>
              <w:bottom w:val="nil"/>
              <w:right w:val="nil"/>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http://yavornik.emitents.net.ua/ua/docs/?fg_id=100</w:t>
            </w:r>
          </w:p>
        </w:tc>
        <w:tc>
          <w:tcPr>
            <w:tcW w:w="1885" w:type="dxa"/>
            <w:tcBorders>
              <w:top w:val="nil"/>
              <w:left w:val="nil"/>
              <w:bottom w:val="single" w:sz="6" w:space="0" w:color="auto"/>
              <w:right w:val="nil"/>
            </w:tcBorders>
            <w:vAlign w:val="bottom"/>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06.11.2025</w:t>
            </w:r>
          </w:p>
        </w:tc>
      </w:tr>
      <w:tr w:rsidR="00721624" w:rsidTr="004146CE">
        <w:tblPrEx>
          <w:tblCellMar>
            <w:top w:w="0" w:type="dxa"/>
            <w:bottom w:w="0" w:type="dxa"/>
          </w:tblCellMar>
        </w:tblPrEx>
        <w:trPr>
          <w:trHeight w:val="300"/>
        </w:trPr>
        <w:tc>
          <w:tcPr>
            <w:tcW w:w="3415" w:type="dxa"/>
            <w:vMerge/>
            <w:tcBorders>
              <w:top w:val="nil"/>
              <w:left w:val="nil"/>
              <w:bottom w:val="nil"/>
              <w:right w:val="nil"/>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0"/>
          <w:szCs w:val="20"/>
        </w:rPr>
        <w:sectPr w:rsidR="00721624">
          <w:pgSz w:w="12240" w:h="15840"/>
          <w:pgMar w:top="570" w:right="720" w:bottom="570" w:left="720" w:header="708" w:footer="708" w:gutter="0"/>
          <w:cols w:space="720"/>
          <w:noEndnote/>
        </w:sectPr>
      </w:pP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ПРАКТИЧНО НЕ ЗДIЙСНЮЄ ВИРОБНОЧОЇ ДIЯЛЬНОСТI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Загальнi збори акцiонерiв (протокол № 1/2025 вiд 11 вересня 2025р.)Дата державної реєстрацiї вiдповiдних змiн до вiдомостей про юридичну особу, що мiстяться в ЄДР - 18 вересня 2025р..Повне найменування акцiонерного товариства до змiни - Публiчне акцiонерне товариство "Акцiонерна фiрма "Яворник".Повне найменування акцiонерного товариства пiсля змiни - Приватне акцiонерне товариство "Акцiонерна фiрма "Яворник". Змiна вулицi: до змiни Гагарiна, 1, пiсля змiни Захисникiв України,1.</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Регулярна рiчна iнформацiя розкривається у вiдповiдностi до вимог Положення про розкриття iнформацiї емiтентами цiнних паперiв, а також особами, за 2022 рiк.</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не заповнюється через вiдсутнiсть забезпечення випускiв цiнних паперiв.</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"Iнформацiя щодо всiх осiб, якi надають забезпечення за зобовязаннями емiтента" не заповнюється, оскiльки забезпечення зобов'язань вiдсутнi.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заповнюється тому, що рейтинг цiннi папери товариства не проходили..</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"Iнформацiя щодо отриманих особою лiцензiй лiцензiй не заповнюється через вiдсутнiсть лiцензiй.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2.Змiна прав на акцiїї - у товариства вiдсутня iнформацiя</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 Iнформацiя "Змiна прав на акцiї" -  Iнформацiя вiдсутня</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3.10.Iнформацiя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Складова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включена до складу рiчної iнформацiї, так як в емiтента в звiтному роцi не було змiни таких осiб</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III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1.Iнформацiя про розмiр доходу - ТОВАРИСТО НЕ ЗДIЙСНЮЄ ВИРОБНИЧОЇ ДIЯЛЬНОСТI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Складова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достаньо коштiв щоб оплатити аудиторський висновок.Пiсля сплати обовязкових податкiв (платежiв) у товариства не залишається коштiв на оплату аудиту, який може коштувати бiльше  100 тис.грн.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Вищезазначена iнформацiя у звiтному роцi не вiдбувалась.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Загальнi збори у звiтному роцi не скликались.</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перiод воєнного стану , а саме у 2022  роцi, Загальнi збори акцiонерiв  не скликались.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вiдбулись 05.09.2025 р. Позачерговi загальнi збори проведено дистанцiйно. (Рiшення про скликання та дистанцiйне проведення позачергових загальних зборiв акцiонерiв ПАТ "АФ "Яворник" прийнято акцiонером, який володiє 83,021 % простих iменних акцiй товариства та вiдповiдно до Рiшення НКЦПФР 26.02.2023 № 466). Дата проведення пiдрахунку голосiв та складання протоколу про пiдсумки голосування - 11.09.2025 р.</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w:t>
      </w:r>
      <w:r>
        <w:rPr>
          <w:rFonts w:ascii="Times New Roman CYR" w:hAnsi="Times New Roman CYR" w:cs="Times New Roman CYR"/>
          <w:sz w:val="24"/>
          <w:szCs w:val="24"/>
        </w:rPr>
        <w:lastRenderedPageBreak/>
        <w:t xml:space="preserve">заповнюється, у зв'язку iз вiдсутнiстю облiгацiй емiтента.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  комiтети колегiального  виконавчого органу.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1.1.5.4.Iнформацiя про одноосiбний виконавчий орган ..- у товариства вiдсутнiй одноосiбний виконавчий орган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ншi посадовi особи емiтента призначаються та звiльняються наказом  директора. У звiтному роцi не призначались i не звiльнялись посадовi особи.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w:t>
      </w:r>
      <w:r>
        <w:rPr>
          <w:rFonts w:ascii="Times New Roman CYR" w:hAnsi="Times New Roman CYR" w:cs="Times New Roman CYR"/>
          <w:sz w:val="24"/>
          <w:szCs w:val="24"/>
        </w:rPr>
        <w:lastRenderedPageBreak/>
        <w:t xml:space="preserve">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2.3.Складова змiсту "Iнформацiя про будь-якi винагороди або компенсацiї, якi мають бути виплаченi посадовим особам емiтента у разi їх звiльнення", не заповнюється, так як за звiтний перiод будь-якi винагороди або компенсацiї, виплаченi посадовим особам емiтента в разi їх звiльнення -вiдсутнi.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не вiдрiзняється вiд законодавчо прийнятих норм.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VI.Складова змiсту "Список посилань на регульовану iнформацiю , яка була розкрита протягом звiтного перiоду" у звiтному роцi не було регульованих iнформацiй.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ОСОБЛИВI IНФОРМАЦIЇЇ якi виникли у 2025 роцi будуть розкритi у звiтi за 2025 рiк.</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ПОСИЛАНЬ будуть розкритi у звiтi за 2025 рiк</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Перелік посилань на внутрішні документи особи, що розміщені на вебсайті особи</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sectPr w:rsidR="00721624">
          <w:pgSz w:w="12240" w:h="15840"/>
          <w:pgMar w:top="570" w:right="720" w:bottom="570" w:left="720" w:header="708" w:footer="708" w:gutter="0"/>
          <w:cols w:space="720"/>
          <w:noEndnote/>
        </w:sectPr>
      </w:pP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Публiчне акцiонерне товариство"Акцiонерна фiрма "Яворник"</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ПАТ"АФ "Яворник"</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00273695</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14.08.1991</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Україна, Закарпатська обл., Великоберезнянський р-н, смт.Великий Березний, Захисникiв України,1. Фактичне: 89000, Україна, Закарпатська обл., Великоберезнянський р-н, смт.Великий Березний, Захисникiв України,1</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Закарпатська область, Великоберезнянський район, смт.Великий Березний,  вул.Захисникiв України,1</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Велике</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yavwood@gmail.com</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+380660083630</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20091030</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31.09 - Виробництво iнших меблiв</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16.10 -  Лiсопильне та стругальне виробництво</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16.21 - Виробництво фанери,дерев"яних плит i панелей шпону</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00032112</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UA763223130000026005000015075</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sectPr w:rsidR="00721624">
          <w:pgSz w:w="12240" w:h="15840"/>
          <w:pgMar w:top="570" w:right="720" w:bottom="570" w:left="720" w:header="708" w:footer="708" w:gutter="0"/>
          <w:cols w:space="720"/>
          <w:noEndnote/>
        </w:sect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260/1313/22</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17.04.2022</w:t>
            </w:r>
          </w:p>
        </w:tc>
        <w:tc>
          <w:tcPr>
            <w:tcW w:w="2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ЗАКАРПАТСЬКИЙ ОКРУЖНИЙ АДМIНIСТРАТИВНИЙ СУД</w:t>
            </w:r>
          </w:p>
        </w:tc>
        <w:tc>
          <w:tcPr>
            <w:tcW w:w="2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Пенсiйного фонду України в Закарпатськiй областi</w:t>
            </w:r>
          </w:p>
        </w:tc>
        <w:tc>
          <w:tcPr>
            <w:tcW w:w="2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"Акцiонерна фiрма "Яворник"</w:t>
            </w:r>
          </w:p>
        </w:tc>
        <w:tc>
          <w:tcPr>
            <w:tcW w:w="2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w:t>
            </w:r>
          </w:p>
        </w:tc>
        <w:tc>
          <w:tcPr>
            <w:tcW w:w="2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Х В А Л А</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залишення позовної заяви без розгляду</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 квiтня 2022 рокум. Ужгород№ 260/1313/22</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Закарпатський окружний адмiнiстративний суд у складi головуючого суддi Гаврилка С.Є., розглянувши у письмовому провадженнi у примiщеннi Закарпатського окружного адмiнiстративного суду адмiнiстративну справу за позовом Головне управлiння Пенсiйного фонду України в Закарпатськiй областi до ПАТ "Акцiонерна фiрма "Яворник" про стягнення заборгованостi,-</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Ухвалою Закарпатського окружного адмiнiстративного суду вiд 01 квiтня 2022 року було прийнято позовну заяву до розгляду та вiдкрито провадження в адмiнiстративнiй справi.</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Однак, пiсля вiдкриття </w:t>
            </w:r>
            <w:r>
              <w:rPr>
                <w:rFonts w:ascii="Times New Roman CYR" w:hAnsi="Times New Roman CYR" w:cs="Times New Roman CYR"/>
                <w:sz w:val="20"/>
                <w:szCs w:val="20"/>
              </w:rPr>
              <w:lastRenderedPageBreak/>
              <w:t>провадження в данiй справi, суддею встановлено, що дана позовна заява не вiдповiдає вимогам, встановленим статтею 171 КАС України.</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про залишення позовної заяви без розгляду</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w:t>
            </w:r>
          </w:p>
        </w:tc>
        <w:tc>
          <w:tcPr>
            <w:tcW w:w="2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260/2304/22</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17.07.2022</w:t>
            </w:r>
          </w:p>
        </w:tc>
        <w:tc>
          <w:tcPr>
            <w:tcW w:w="2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ЗАКАРПАТСЬКИЙ ОКРУЖНИЙ АДМIНIСТРАТИВНИЙ СУД</w:t>
            </w:r>
          </w:p>
        </w:tc>
        <w:tc>
          <w:tcPr>
            <w:tcW w:w="2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Пенсiйного фонду України в Закарпатськiй областi</w:t>
            </w:r>
          </w:p>
        </w:tc>
        <w:tc>
          <w:tcPr>
            <w:tcW w:w="2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"Акцiонерна фiрма "Яворник" про стягнення заборгованостi</w:t>
            </w:r>
          </w:p>
        </w:tc>
        <w:tc>
          <w:tcPr>
            <w:tcW w:w="2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w:t>
            </w:r>
          </w:p>
        </w:tc>
        <w:tc>
          <w:tcPr>
            <w:tcW w:w="2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Х В А Л А</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залишення позовної заяви без розгляду</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 липня 2022 рокум. Ужгород№ 260/2304/22</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Закарпатський окружний адмiнiстративний суд у складi суддi Калинич Я.М., розглянувши в письмовому провадженнi матерiали адмiнiстративної справи за позовом Головного управлiння Пенсiйного фонду України в Закарпатськiй областi (88008, Закарпатська область, м. Ужгород, пл. Народна, 4, код ЄДРПОУ 20453063) до Публiчного акцiонерного товариства "Акцiонерна фiрма "Яворник" (89000, Закарпатська область, смт. Великий Березний, вул. Гагарiна, буд. 1, код ЄДРПОУ 00273695) про стягнення заборгованостi,</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ВСТАНОВИВ:</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Головне управлiння </w:t>
            </w:r>
            <w:r>
              <w:rPr>
                <w:rFonts w:ascii="Times New Roman CYR" w:hAnsi="Times New Roman CYR" w:cs="Times New Roman CYR"/>
                <w:sz w:val="20"/>
                <w:szCs w:val="20"/>
              </w:rPr>
              <w:lastRenderedPageBreak/>
              <w:t>Пенсiйного фонду України в Закарпатськiй областi звернулося до Закарпатського окружного адмiнiстративного суду з позовною заявою до публiчного акцiонерного товариства "Акцiонерна фiрма "Яворник" в якому просить стягнути з публiчного акцiонерного товариства "Акцiонерна фiрма "Яворник" на користь Головного управлiння Пенсiйного фонду України в Закарпатськiй областi заборгованiсть з вiдшкодування фактичних витрат на виплату i доставку пенсiй, призначених по Списку 1, яка виникла за спiрний перiод в сумi 14630,53 грн.</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про залишення позовної заяви без розгляду</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0"/>
          <w:szCs w:val="20"/>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4400"/>
        <w:gridCol w:w="3850"/>
      </w:tblGrid>
      <w:tr w:rsidR="00721624"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721624"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721624"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10632885</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31.07.2015</w:t>
            </w:r>
          </w:p>
        </w:tc>
        <w:tc>
          <w:tcPr>
            <w:tcW w:w="2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Великоберезнянське районне управлiння юстицiї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арешт всього  нерухомого майна</w:t>
            </w:r>
          </w:p>
        </w:tc>
        <w:tc>
          <w:tcPr>
            <w:tcW w:w="44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Постанова про арешт майна та заборана на його вiдчуження (заборгованiсть по пiльговим пенсiям)</w:t>
            </w:r>
          </w:p>
        </w:tc>
        <w:tc>
          <w:tcPr>
            <w:tcW w:w="38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Продовжуються судовi рiшення, заборгованiсть по пiльговим пенсiям не виплачена.</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0"/>
          <w:szCs w:val="20"/>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0"/>
          <w:szCs w:val="20"/>
        </w:rPr>
        <w:sectPr w:rsidR="00721624">
          <w:pgSz w:w="16837" w:h="11905" w:orient="landscape"/>
          <w:pgMar w:top="570" w:right="720" w:bottom="570" w:left="720" w:header="708" w:footer="708" w:gutter="0"/>
          <w:cols w:space="720"/>
          <w:noEndnote/>
        </w:sect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721624" w:rsidRDefault="00721624" w:rsidP="007216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представники акцiонерiв</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2 члена правлiння</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Згiдно рiшення рiчних загальних зборiв, прийнятою Новою редакцiєю Статуту товариства обрано директором ПрАТ "АФ "ЯВОРНИК" Хiлько Тетяну Валерiївну з 05.09.2025 року термiном на 3 роки. </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2 члена наглядової ради</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2 члена ревiзiйної комiсiї</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rPr>
        <w:sectPr w:rsidR="00721624">
          <w:pgSz w:w="12240" w:h="15840"/>
          <w:pgMar w:top="570" w:right="720" w:bottom="570" w:left="720" w:header="708" w:footer="708" w:gutter="0"/>
          <w:cols w:space="720"/>
          <w:noEndnote/>
        </w:sect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Президент компанiї "КАI Корп."</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34622379</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 не працює</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ТОВ "Туристична фiрма "Сакура Тревел"</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34262236</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Представник - ТОВ "Туристична фiрма "Сакура Тревел" Консультант по економiчний питанням .</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w:t>
            </w:r>
          </w:p>
        </w:tc>
        <w:tc>
          <w:tcPr>
            <w:tcW w:w="3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 компанiя."КАI".</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00273695, 34622379</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правлiння , заст.директора по економiчним питанням. Знаходилась у товариствi на безоплатнiй основi </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Хуана Тенеса</w:t>
            </w:r>
          </w:p>
        </w:tc>
        <w:tc>
          <w:tcPr>
            <w:tcW w:w="1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1943</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Виконавчий директор Компанiї "КАI Корп."</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34622379</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w:t>
            </w:r>
          </w:p>
        </w:tc>
        <w:tc>
          <w:tcPr>
            <w:tcW w:w="3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 не працює</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 лагодильниця шпону товариства</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721624"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начальник дiльницi.</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0"/>
          <w:szCs w:val="20"/>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721624" w:rsidTr="004146CE">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721624" w:rsidTr="004146CE">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721624"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721624"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0,001095</w:t>
            </w:r>
          </w:p>
        </w:tc>
        <w:tc>
          <w:tcPr>
            <w:tcW w:w="17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7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21624"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Тенес Хуан</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21624"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0,049126</w:t>
            </w:r>
          </w:p>
        </w:tc>
        <w:tc>
          <w:tcPr>
            <w:tcW w:w="17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7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21624"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0,291971</w:t>
            </w:r>
          </w:p>
        </w:tc>
        <w:tc>
          <w:tcPr>
            <w:tcW w:w="17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7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21624"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0,000846</w:t>
            </w:r>
          </w:p>
        </w:tc>
        <w:tc>
          <w:tcPr>
            <w:tcW w:w="17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7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21624"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0,079538</w:t>
            </w:r>
          </w:p>
        </w:tc>
        <w:tc>
          <w:tcPr>
            <w:tcW w:w="17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7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21624"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4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0,010751</w:t>
            </w:r>
          </w:p>
        </w:tc>
        <w:tc>
          <w:tcPr>
            <w:tcW w:w="17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7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21624"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4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21624"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24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0"/>
          <w:szCs w:val="20"/>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0"/>
          <w:szCs w:val="20"/>
        </w:rPr>
        <w:sectPr w:rsidR="00721624">
          <w:pgSz w:w="16837" w:h="11905" w:orient="landscape"/>
          <w:pgMar w:top="570" w:right="720" w:bottom="570" w:left="720" w:header="708" w:footer="708" w:gutter="0"/>
          <w:cols w:space="720"/>
          <w:noEndnote/>
        </w:sect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не входить до складу будь-яких об"єднань, корпорацiй, холдингiв i т.п.</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Яворник у 1996 роцi уклав з компанiєю КАI ДП "КАI ЄВРОПИ С.А." КОМПАНIЇ "КАI ЄВРОПИ С.А."34622379 договiр про спiльну дiяльнiсть. Це окремий субєкт господарювання без створення юридичної особи.</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минулих роках ПАТ АФ "Яворник"  виробляв бруски, дошки, шпон лущений та гнуто-клеєнi деталi та цiлий ряд виробiв широкого вжитку з вiдходiв деревини.Йшла пiдготовка до випуску м"ягких меблiв.</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на пiдприємствi ведеться згiдно дiючого Закону про ведення облiку в Українi.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основнi засоби ПАТ АФ "Яворник" з 01.01.2001 року законсервованi i амортизацiя не нараховується.</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засоби є власними та наявними.</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Застосовувалась товариством облiкова полiтика є прийнятною i вiдповiдає концептуальнiй основi фiнансової звiтностi, передбаченiй мiжнародними стандартами фiнансової звiтностi та чинним законодавством України. Концептуальною основою фiнансової звiтностi є загальнi вимоги стосовно подання iнформацiї про фiнансову звiтнiсть згiдно з Мiжнародними стандартами фiнансової звiтностi, дiючими на Українi, якi вимагають розкриття i подання iнформацiї у вiдповiдностi з принципами безперервностi, послiдовностi, суттєвостi, порiвнянностi iнформацiї, структури та змiсту фiнансової звiтностi.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Сума, яка пiдлягає амортизацiї, становить первiсну вартiсть або умовну вартiсть об'єкта основних засобiв, за вирахуванням його лiквiдацiйної вартостi. Лiквiдацiйна вартiсть активу - це очiкувана сума, яку одержали б на даний момент вiд реалiзацiї об'єкта основних засобiв пiсля вирахування очiкуваних витрат на вибуття, якби даний актив уже досяг того вiку та стану, у якому, як можна очiкувати, вiн буде перебувати наприкiнцi строку свого корисного використання.</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Амортизацiя основних засобiв нараховується з метою списання вартостi вiдповiдного активу протягом строку корисного використання i розраховується з використанням прямолiнiйного методу у дiапазонi вiд 3 до 50 рокiв.</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Нематерiальнi активи в момент придбання оцiнюються по первiснiй вартостi. Їх облiк ведеться по первiснiй вартостi за вирахуванням накопиченого зносу та накопичених збиткiв вiд знецiнювання. Амортизацiя нематерiальних активiв розраховується з використанням прямолiнiйного методу. Нематерiальнi активи з невизначеним строком корисного використання не амортизуються та перевiряються на предмет знецiнювання на кожну звiтну дату.</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 трансформацiї фiнансової звiтностi об'єкти основних засобiв, якi були придбанi (побудованi) з метою продажу, та вiдповiдають всiм умовам МСБО 5, переведенi до статтi "Необоротнi активи для продажi". Необоротнi активи та групи вибуття для продажу облiковуються по найменшiй вартостi - балансовiй вартостi або справедливiй за вирахуванням витрат на продаж. Такi активи не пiдлягають амортизацiї, повиннi бути доступними до негайного продажу та їх продаж повинен бути високо вiрогiдним.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фiнансового стану незадовiльнi (недостатньо робочого капiталу для поточних потреб), вiдповiдно фiнансовий стан ПАТ "Акцiонерна фiрма "Яворник"" не задовiльний.</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полiтики щодо дослiджень та розробок, сума витрат на дослiдження та розробку за звiтний рiк.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веде дiяльностi у сферi дослiджень та розробок.</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щодо продуктiв (товарiв або послуг) особи.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ТОВАРИСТВО НЕ ЗДIЙСНЮЄ ВИРОБНИЧОЇ ДIЯЛЬНОСТI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є фiнансовою установою.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Протягом звiтного перiоду емiтент не надавав послуги, за рахунок продажу яких отримав 10 або бiльше вiдсоткiв доходу за рiк.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Безперебiйнiсть роботи ПАТ у повнiй мiрi залежала вiд своєчасного видiлення лiсосiчного фонду. Вiд якостi видiленого лiсу залежить виробництво шпону та виробiв з нього, що є закiнченим виробничим циклом.</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Товариствв вiрогiднi перспективи подальшого розвитку емiтента - вiдсутнi.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за останнi роки - 0.00 тис.грн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основнi засоби ПАТ АФ "Яворник" з 01.01.2001 року законсервованi i амортизацiя не нараховується..Амортизацiя на основнi засоби не нараховувалася, в зв'язку з консервацiєю. Основнi засоби є власними та наявними.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Проблеми, якi впливають на дiяльнiсть особи, в тому числi ступiнь залежностi вiд законодавчих або економiчних обмежень.</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Укладених але не виконаних договорiв немає.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w:t>
      </w:r>
      <w:r>
        <w:rPr>
          <w:rFonts w:ascii="Times New Roman CYR" w:hAnsi="Times New Roman CYR" w:cs="Times New Roman CYR"/>
          <w:sz w:val="24"/>
          <w:szCs w:val="24"/>
        </w:rPr>
        <w:lastRenderedPageBreak/>
        <w:t xml:space="preserve">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2022 року середньооблiкова чисельнiсть штатних працiвникiв облiкового складу складає 0 осiб.</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осiб, якi працюють за сумiсництвом (осiб) -0 осiб.</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(осiб) - немає.</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2016р. складав 0 тис.грн.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2017р. складав 0 тис.грн.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2018р. складав 0 тис.грн.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2019р. складав 0 тис.грн.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2020р. складав 0 тис.грн.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2021р. складав 0 тис.грн.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2022р. складав 0 тис.грн.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правлiння на безоплатнiй основi , основна робота -комп. "КАI" код 244995926</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Будь-яких пропозицiй щодо реорганiзацiї з боку третiх осiб, що мали мiсце протягом звiтного перiоду не надходило.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товариство призупинило основну  господарську дiяльнiсть,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721624" w:rsidTr="004146CE">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721624" w:rsidTr="004146CE">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721624"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2"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721624"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2"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721624"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2"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721624"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Частина майна арештована вiдiлом ДВС В.Березнянського РУЮ згiдно рiшення суду. </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721624"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721624"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9 025</w:t>
            </w:r>
          </w:p>
        </w:tc>
        <w:tc>
          <w:tcPr>
            <w:tcW w:w="3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9 025</w:t>
            </w:r>
          </w:p>
        </w:tc>
      </w:tr>
      <w:tr w:rsidR="00721624"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721624"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721624"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c>
          <w:tcPr>
            <w:tcW w:w="3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r>
      <w:tr w:rsidR="00721624"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721624" w:rsidTr="004146CE">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вiдбувався вiдповiдно до пункту 2 статтi 14 Закону України "Про акцiонернi товариства" № 514-VI вiд 17.09.2008 р. </w:t>
            </w:r>
          </w:p>
          <w:p w:rsidR="00721624" w:rsidRDefault="00721624"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721624" w:rsidRDefault="00721624"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Розрахункова вартiсть чистих активiв НЕ перевищує статутний . Розрахункова вартiсть чистих активiв НЕ перевищує скоригований статутний капiтал . Вимоги частини третьої статтi 155 Цивiльного кодексу України НЕ дотриманi. </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721624" w:rsidTr="004146CE">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721624" w:rsidTr="004146CE">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21624" w:rsidTr="004146CE">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r w:rsidR="00721624"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21624"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r>
      <w:tr w:rsidR="00721624"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21624"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21624"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21624"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21624"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21624"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21624"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21624"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21624"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9 318</w:t>
            </w:r>
          </w:p>
        </w:tc>
        <w:tc>
          <w:tcPr>
            <w:tcW w:w="19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21624"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r w:rsidR="00721624"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9 318</w:t>
            </w:r>
          </w:p>
        </w:tc>
        <w:tc>
          <w:tcPr>
            <w:tcW w:w="194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Організаційно-правова форма</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м.Київ, Тропiнiна, 7Г</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(044)2791078</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компанiя"Захiдна iнвестицiйна група"компанiя"Захiдна iнвестицiйна група"</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м.Iвано-Франкiвськ, Мiцкевича,буд.6,офiс 5</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20.06.0213</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(034)2525767</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Посередництво за договорами по цiнних паперах або товарах.</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ИНФРАСТРУКТУРИ ФОНДОВОГО РИНКУ УКРАИНИ</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Антоновича 51/1206</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62.01 - Комп'ютерне програмування</w:t>
            </w:r>
          </w:p>
        </w:tc>
      </w:tr>
      <w:tr w:rsidR="00721624"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rPr>
        <w:sectPr w:rsidR="00721624">
          <w:pgSz w:w="12240" w:h="15840"/>
          <w:pgMar w:top="570" w:right="720" w:bottom="570" w:left="720" w:header="708" w:footer="708" w:gutter="0"/>
          <w:cols w:space="720"/>
          <w:noEndnote/>
        </w:sectPr>
      </w:pP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721624"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721624" w:rsidTr="004146CE">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721624"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9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2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 брати участь у загальних зборах акцiонерiв i голосувати особисто або через </w:t>
            </w:r>
            <w:r>
              <w:rPr>
                <w:rFonts w:ascii="Times New Roman CYR" w:hAnsi="Times New Roman CYR" w:cs="Times New Roman CYR"/>
              </w:rPr>
              <w:lastRenderedPageBreak/>
              <w:t xml:space="preserve">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можуть мати також iншi права, передбаченi чинним законодавством </w:t>
            </w:r>
            <w:r>
              <w:rPr>
                <w:rFonts w:ascii="Times New Roman CYR" w:hAnsi="Times New Roman CYR" w:cs="Times New Roman CYR"/>
              </w:rPr>
              <w:lastRenderedPageBreak/>
              <w:t>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законодавством</w:t>
            </w:r>
          </w:p>
        </w:tc>
        <w:tc>
          <w:tcPr>
            <w:tcW w:w="2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721624" w:rsidTr="004146CE">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w:t>
            </w:r>
            <w:r>
              <w:rPr>
                <w:rFonts w:ascii="Times New Roman CYR" w:hAnsi="Times New Roman CYR" w:cs="Times New Roman CYR"/>
              </w:rPr>
              <w:lastRenderedPageBreak/>
              <w:t>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Номер </w:t>
            </w:r>
            <w:r>
              <w:rPr>
                <w:rFonts w:ascii="Times New Roman CYR" w:hAnsi="Times New Roman CYR" w:cs="Times New Roman CYR"/>
              </w:rPr>
              <w:lastRenderedPageBreak/>
              <w:t>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Найменування органу, </w:t>
            </w:r>
            <w:r>
              <w:rPr>
                <w:rFonts w:ascii="Times New Roman CYR" w:hAnsi="Times New Roman CYR" w:cs="Times New Roman CYR"/>
              </w:rPr>
              <w:lastRenderedPageBreak/>
              <w:t>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Міжнародний </w:t>
            </w:r>
            <w:r>
              <w:rPr>
                <w:rFonts w:ascii="Times New Roman CYR" w:hAnsi="Times New Roman CYR" w:cs="Times New Roman CYR"/>
              </w:rPr>
              <w:lastRenderedPageBreak/>
              <w:t>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Тип цінного </w:t>
            </w:r>
            <w:r>
              <w:rPr>
                <w:rFonts w:ascii="Times New Roman CYR" w:hAnsi="Times New Roman CYR" w:cs="Times New Roman CYR"/>
              </w:rPr>
              <w:lastRenderedPageBreak/>
              <w:t>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Форма </w:t>
            </w:r>
            <w:r>
              <w:rPr>
                <w:rFonts w:ascii="Times New Roman CYR" w:hAnsi="Times New Roman CYR" w:cs="Times New Roman CYR"/>
              </w:rPr>
              <w:lastRenderedPageBreak/>
              <w:t>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Номінальна </w:t>
            </w:r>
            <w:r>
              <w:rPr>
                <w:rFonts w:ascii="Times New Roman CYR" w:hAnsi="Times New Roman CYR" w:cs="Times New Roman CYR"/>
              </w:rPr>
              <w:lastRenderedPageBreak/>
              <w:t>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w:t>
            </w:r>
            <w:r>
              <w:rPr>
                <w:rFonts w:ascii="Times New Roman CYR" w:hAnsi="Times New Roman CYR" w:cs="Times New Roman CYR"/>
              </w:rPr>
              <w:lastRenderedPageBreak/>
              <w:t>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Загальна </w:t>
            </w:r>
            <w:r>
              <w:rPr>
                <w:rFonts w:ascii="Times New Roman CYR" w:hAnsi="Times New Roman CYR" w:cs="Times New Roman CYR"/>
              </w:rPr>
              <w:lastRenderedPageBreak/>
              <w:t>номінальна вартість, грн</w:t>
            </w:r>
          </w:p>
        </w:tc>
        <w:tc>
          <w:tcPr>
            <w:tcW w:w="17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Частка у </w:t>
            </w:r>
            <w:r>
              <w:rPr>
                <w:rFonts w:ascii="Times New Roman CYR" w:hAnsi="Times New Roman CYR" w:cs="Times New Roman CYR"/>
              </w:rPr>
              <w:lastRenderedPageBreak/>
              <w:t>статутному капіталі (у відсотках)</w:t>
            </w:r>
          </w:p>
        </w:tc>
      </w:tr>
      <w:tr w:rsidR="00721624" w:rsidTr="004146CE">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721624" w:rsidTr="004146CE">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4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17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16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4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7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721624" w:rsidTr="004146CE">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емiтента не здiйснювалась. Додатковi емiсiї не проводились.</w:t>
            </w:r>
          </w:p>
          <w:p w:rsidR="00721624" w:rsidRDefault="00721624"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721624" w:rsidTr="004146CE">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721624" w:rsidTr="004146CE">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721624" w:rsidTr="004146CE">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2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20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2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1 667 980</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341 123</w:t>
            </w:r>
          </w:p>
        </w:tc>
        <w:tc>
          <w:tcPr>
            <w:tcW w:w="28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rPr>
        <w:sectPr w:rsidR="00721624">
          <w:pgSz w:w="16837" w:h="11905" w:orient="landscape"/>
          <w:pgMar w:top="570" w:right="720" w:bottom="570" w:left="720" w:header="708" w:footer="708" w:gutter="0"/>
          <w:cols w:space="720"/>
          <w:noEndnote/>
        </w:sectPr>
      </w:pP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721624" w:rsidRDefault="00721624" w:rsidP="007216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ПАТ "АФ "Яворник"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 Рiчна iнформацiя засвiдчена керiвником  - голова правлiння Хiлько Т.В.</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наглядової ради  у звiтньому роцi не звертався до акцiонерiв та iнших стейкхолдерiв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правлiння  у звiтньому роцi не звертався до акцiонерiв та iнших стейкхолдерiв У своїй дiяльностi  голова правлiння  Товариства керується чинним законодавством, Статутом, рiшеннями загальних зборiв акцiонерiв та наглядової ради, положенням про виконавчий орган та iншими внутрiшнiми положеннями Товариства.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Вiдкрите акцiонерне товариство "Акцiонерна фiрма "Яворник" засновано в 1945 роцi створенням артiлi "Червоний шлях". Перша промислова продукцiя артiлi випущена в 1949 роцi. Це було навчальне приладдя, верстаки, рахiвницi та iншi товари народного споживання. Вперше освоєно виробництво клеєної фанери, випуск якої нарощувався з року в рiк. В 1960 роцi артiль перейменовано в фанерно-меблевий завод, а через два роки його об"єднано з райпромкомбiнатом. Розпочато виробництво меблiв i в серпнi 1963 року переiменовано у Великобе-резнянський меблевий комбiнат. До комбiнату, в 1964 роцi, приєднано Костринський лiсопильний завод. Розпил деревини, виготов-лення паркету та табуретiв - основнi види промислового виробництва. З 1969 року по 1971 проведено реконструкцiю Костринського лiсозаводу орiєнтовану на виробниц-тво кухонних меблiв. З приєднанням Жорнавського лiсокомбiнату пiдприємство стало комплексним i переiменовано на Великоберезнянський лiсокомбiнат.У 60 - 70 роках наростали обсяги виробництва, розширювався асортимент меблiв. Основними видами продукцiї були: набори для спалень, 2-х та 3-х двернi гарднробнi шафи, тумби прилiжковi, сувенiри iнкустованi соломкою та кухоннi набори. По Костринськiй площадцi проводиться друга черга реконструкцiї, яка завершується в 1982 роцi. За наказом об"єднання "Закарпатлiс", з червня 1983 року, почав дiяти "Костринський комбiнат кухонних меблiв" та "Жорнавський лiсокомбiнат". КККМ перейменовується на "Великоберезнянський меблевий комбiнат" у 1988 роцi. Розпочато виробництво нових видiв кухонних наборiв. З 1989 року комбiнат працює в умовах оренди, а через два роки проведено акцiонування з створенням ЗАТ "Акцiонерна фiрма "Яворник". ЗАТ залучає iнвестицiї через компанiю "КАЇКорп." та реорганiзовується в ВАТ. З 1996 року i по даний час ВАТ(ПАТ)АФ "Яворник" та ""КАI Європи S.A." дiють як учасники договору "Про спiльну iнвестицiйну дiяльнiсть".</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загальних зборах 29 березня 2013 року прийнято рiшення:</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Внесення змiн та доповнень до Статуту Товариства. Змiна назви товариства з ВАТ АФ "Яворник" на публiчне акцiонерне товариство АФ "Яворник". Затвердження Статуту Товариства в новiй редакцiї. Затвердження внутрiшнiх Положень Товариства.</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Всi цехи задiянi в виробництво по спiльнiй дiяльностi з iнвестором.</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емiтент не проводив.</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(протокол № 1/2025 вiд 11 вересня 2025р.) 2.Дата державної реєстрацiї вiдповiдних змiн до вiдомостей про юридичну особу, що мiстяться в ЄДР - 18 вересня 2025р. 3.Повне найменування акцiонерного товариства до змiни - Публiчне акцiонерне товариство "Акцiонерна фiрма "Яворник" 4.Повне найменування акцiонерного товариства пiсля змiни - Приватне акцiонерне товариство "Акцiонерна фiрма "Яворник". 5.Змiна вулицi: до змiни Гагарiна, 1, пiсля змiни Захисникiв України,1</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укладало деривативи, та не вчиняло правочинiв щодо похiдних цiнних паперiв, тому не несе фiнансових ризикiв, пов'язаних з обiгом похiдних цiнних паперiв. Намiри щодо вчинення таких правочинiв вiдсутнi.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Завдань та полiтики товариства щодо управлiння фiнансовими ризиками ,  у тому числi полiтики щодо страхування кожного основного виду прогнозованої операцiї, для якої використовуються оперцiї хенджування - у товариства  немає. Товариство не здiснює виробночої дiяльностi, здає в оренду майно..</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Виробнича дiяльнiсть Товариства немає схильностi до цiнових ризикiв, ризику лiквiдностi та ризику грошових потокiв - товариство не здiснює виробничу дiяльнiсть.</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1) звіт про корпоративне управління</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721624"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721624"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Статуту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Вiдхилень не вiдбувалось.</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721624"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отримувати додаткову </w:t>
            </w:r>
            <w:r>
              <w:rPr>
                <w:rFonts w:ascii="Times New Roman CYR" w:hAnsi="Times New Roman CYR" w:cs="Times New Roman CYR"/>
                <w:sz w:val="24"/>
                <w:szCs w:val="24"/>
              </w:rPr>
              <w:lastRenderedPageBreak/>
              <w:t>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Обсяг та порядок реалiзацiї прав акцiонерiв регулюється чинним законодавством та статутому Товариства. </w:t>
            </w:r>
            <w:r>
              <w:rPr>
                <w:rFonts w:ascii="Times New Roman CYR" w:hAnsi="Times New Roman CYR" w:cs="Times New Roman CYR"/>
                <w:sz w:val="24"/>
                <w:szCs w:val="24"/>
              </w:rPr>
              <w:lastRenderedPageBreak/>
              <w:t>Статутом Товариства передбачено право осiб, якi мають право брати участь у загальних зборах на отримання додаткової iнформацiї достатньої, щоб сформувати поiнформовану думку щодо всiх питань, якi розглядатимуться пiд час загальних зборiв не менше, нiж за 30 днiв до дати їх проведення.</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не передбачено розкриття такої iнформацiї.</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Передбачена така можливiсть.</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Товариства</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721624"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 акцiонерами.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721624"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визначенi принципи щодо поглинання</w:t>
            </w:r>
          </w:p>
        </w:tc>
      </w:tr>
      <w:tr w:rsidR="00721624"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зi стейкхолдерами.</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визначено перелiк своїх стейкхолдерiв, зокрема i тих, з якими необхiдно налагодити безпосередню взаємодiю.</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p>
        </w:tc>
      </w:tr>
      <w:tr w:rsidR="00721624"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3. Наглядова рада</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не входять до складу наглядових рад iнших юридичних осiб.</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доступ до будь-якої iнформацiї, яка необхiдна їм для виконання своїх обов"язкiв.доступом, несуть вiдповiдальнiсть за її неправомiрне використання.</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звiту директора</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та/або положення "Про наглядову раду" не визначають,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 у випадках надзвичайних обставин, якi визначенi належним чином вiдповiдно законодавства</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та навички членiв Наглядової ради вiдповiдають потребам особи.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одна особа жiночої статi, 2  особа чоловiчої статi</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Голові наглядової ради забезпечено можливість для комунікації з акціонерами, у тому числі </w:t>
            </w:r>
            <w:r>
              <w:rPr>
                <w:rFonts w:ascii="Times New Roman CYR" w:hAnsi="Times New Roman CYR" w:cs="Times New Roman CYR"/>
                <w:sz w:val="24"/>
                <w:szCs w:val="24"/>
              </w:rPr>
              <w:lastRenderedPageBreak/>
              <w:t>мажоритарними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721624"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721624"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визначає ключовi показники ефективностi Виконавчому органу для вiдстеження прогресу у досягненнi цiлей особи.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правлiння iнформує голову Наглядової ради про будь-якi значнi подiї, якi сталися в перiод мiж засiданнями Наглядової ради.</w:t>
            </w:r>
          </w:p>
        </w:tc>
      </w:tr>
      <w:tr w:rsidR="00721624"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6. Винагорода</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Умови та розмiр винагороди членiв Наглядової ради визначається умовами договору, укладеного мiж Товариством та членом Наглядової ради. Розмiр винагороди виконавчого органу визначається Наглядової радою. Члени Наглядової ради здiйснюють свою дiяльнiсть безоплатно. Товариство не працює</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Розмiр винагороди виконавчого органу визначається Наглядової радою. </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721624"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вiдсутня. Розкриття iнформацiї здiйснюється вiдповiдно до законодавства.</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готує фiнансову звiтнiсть самостiйно, надаючи потiм її на розгляд Наглядовiй радi.</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роздiлу не має</w:t>
            </w:r>
          </w:p>
        </w:tc>
      </w:tr>
      <w:tr w:rsidR="00721624"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така модель не створена. Вiдсутня дана практика.</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Невиконавчi директори ради директорiв у товариства не має.</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полiтику з питань управлiння ризиками. Вiдсутня дана практика.</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декларацiю схильностi до ризикiв. Вiдсутня дана практика.</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кодексу етики. Зазначений кодекс не оприлюднювався.</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затверджено</w:t>
            </w:r>
          </w:p>
        </w:tc>
      </w:tr>
      <w:tr w:rsidR="00721624"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721624"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Кожні три роки проводиться комплексна оцінка системи </w:t>
            </w:r>
            <w:r>
              <w:rPr>
                <w:rFonts w:ascii="Times New Roman CYR" w:hAnsi="Times New Roman CYR" w:cs="Times New Roman CYR"/>
                <w:sz w:val="24"/>
                <w:szCs w:val="24"/>
              </w:rPr>
              <w:lastRenderedPageBreak/>
              <w:t>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провадить практику корпоративного управлiння щодо оцiнки </w:t>
            </w:r>
            <w:r>
              <w:rPr>
                <w:rFonts w:ascii="Times New Roman CYR" w:hAnsi="Times New Roman CYR" w:cs="Times New Roman CYR"/>
                <w:sz w:val="24"/>
                <w:szCs w:val="24"/>
              </w:rPr>
              <w:lastRenderedPageBreak/>
              <w:t>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721624" w:rsidTr="004146CE">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721624" w:rsidTr="004146CE">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721624"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Френк Неуман</w:t>
            </w: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r w:rsidR="00721624"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Крайникович Олена Юрiївна</w:t>
            </w: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r w:rsidR="00721624"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Юридична фiрма ТОВ "Туристична фiрма "Сакура Тревел" в особi представника Голика Романа Мар'яновича</w:t>
            </w: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721624"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21624"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21624"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21624"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 повноважень НР закiнчено.Товариство не здiйснює виробничої дiяльностi </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Загальнi збори акцiонерiв у 2021-2022 р.р.не скликалися, вiдповiдно наглядова рада не звiтувалась перед акцiонерами  про пророблену роботу.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дiяльностi, складу, структури Наглядової ради та її дiяльностi як колегiального органу, компетентностi та ефективностi та незалежностi кожного члена ради, виконання наглядовою радою поставлених цiлей. Оцiнка НР вiдсутня.</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721624" w:rsidTr="004146CE">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721624" w:rsidTr="004146CE">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721624"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Хiлько Тетяна Валерiївна</w:t>
            </w: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r w:rsidR="00721624"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Тенес Хуан</w:t>
            </w: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r w:rsidR="00721624"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Сместр Iванович Гiнебра</w:t>
            </w: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721624"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721624"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21624"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21624"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21624"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здiйснює господарської дiяльностi, засiдання  правлiння не проводили.  Органами Товариства не розглядались та не приймались рiшення щодо оцiнки виконавчого органу .</w:t>
            </w:r>
          </w:p>
          <w:p w:rsidR="00721624" w:rsidRDefault="00721624"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Оцiнка роботи виконавчого органу вiдсутня. ТЕРМIН ПОВНОВАЖЕНЬ ЗАКIНЧЕНО.</w:t>
            </w:r>
          </w:p>
          <w:p w:rsidR="00721624" w:rsidRDefault="00721624"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господарської дiяльностi, засiдань  правлiння не проводили.  Органами Товариства не розглядались та не приймались рiшення щодо оцiнки виконавчого органу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роботи виконавчого органу вiдсутня.</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 ПОВНОВАЖЕНЬ ЗАКIНЧЕНО.</w:t>
      </w: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721624"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721624"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721624"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721624"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721624"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захисту.</w:t>
            </w:r>
          </w:p>
        </w:tc>
      </w:tr>
      <w:tr w:rsidR="00721624"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721624"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документу (документiв) щодо системи внутрiшнього контролю (у тому числi щодо системи комплаєнс та внутрiшнього аудиту).</w:t>
            </w:r>
          </w:p>
        </w:tc>
      </w:tr>
      <w:tr w:rsidR="00721624"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r w:rsidR="00721624"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721624"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721624"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721624"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затверджувалась декларацiя  схильностi до ризикiв </w:t>
            </w:r>
          </w:p>
        </w:tc>
      </w:tr>
      <w:tr w:rsidR="00721624"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721624"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721624"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Компанiя "Карпатсько-атлантична iндустрiя Європи S.A"</w:t>
            </w:r>
            <w:r>
              <w:rPr>
                <w:rFonts w:ascii="Times New Roman CYR" w:hAnsi="Times New Roman CYR" w:cs="Times New Roman CYR"/>
              </w:rPr>
              <w:tab/>
            </w:r>
          </w:p>
        </w:tc>
        <w:tc>
          <w:tcPr>
            <w:tcW w:w="17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1667980</w:t>
            </w:r>
          </w:p>
        </w:tc>
        <w:tc>
          <w:tcPr>
            <w:tcW w:w="175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83,021129</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721624"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721624"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721624"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721624"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tc>
      </w:tr>
      <w:tr w:rsidR="00721624"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721624"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721624"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721624"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721624"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Перелік питань, які розглядались </w:t>
            </w:r>
            <w:r>
              <w:rPr>
                <w:rFonts w:ascii="Times New Roman CYR" w:hAnsi="Times New Roman CYR" w:cs="Times New Roman CYR"/>
                <w:sz w:val="24"/>
                <w:szCs w:val="24"/>
              </w:rPr>
              <w:lastRenderedPageBreak/>
              <w:t>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Питання щодо захисту довкiлля та соцiальної </w:t>
            </w:r>
            <w:r>
              <w:rPr>
                <w:rFonts w:ascii="Times New Roman CYR" w:hAnsi="Times New Roman CYR" w:cs="Times New Roman CYR"/>
                <w:sz w:val="24"/>
                <w:szCs w:val="24"/>
              </w:rPr>
              <w:lastRenderedPageBreak/>
              <w:t>вiдповiдальностi не розглядалися</w:t>
            </w:r>
          </w:p>
        </w:tc>
      </w:tr>
      <w:tr w:rsidR="00721624"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721624"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721624"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721624"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721624"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721624"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721624"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Полiтика щодо взаємодiї зi стейкхолдерами вiдсутня.</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200"/>
        <w:gridCol w:w="3200"/>
        <w:gridCol w:w="3100"/>
      </w:tblGrid>
      <w:tr w:rsidR="00721624"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особи, за якою розміщено внутрішній документ</w:t>
            </w:r>
          </w:p>
        </w:tc>
      </w:tr>
      <w:tr w:rsidR="00721624"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21624"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дематерiалiзацiю</w:t>
            </w:r>
          </w:p>
        </w:tc>
        <w:tc>
          <w:tcPr>
            <w:tcW w:w="3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Загальними зборами акцiонерiв вiдкритого акцiонерного товариства "Акцiонерна фiрма "Яворник" якi вiдбулися 29 березня 2013р., протокол № 01/13, у вiдповiдностi до вимог закону України "Про акцiонернi товариства", прийнято та затверджене рiшення про переведення випуску акцiй вiдкритого акцiонерного товариства ВАТ "АФ "Яворник" в бездокументарну форму, та змiну типу та найменування товариства на Публiчне акцiонерне товариство  "Акцiонерна фiрма" Яворник"   </w:t>
            </w:r>
          </w:p>
        </w:tc>
        <w:tc>
          <w:tcPr>
            <w:tcW w:w="31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721624"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державну реєстрацiю</w:t>
            </w:r>
          </w:p>
        </w:tc>
        <w:tc>
          <w:tcPr>
            <w:tcW w:w="3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державну реєстрацiю ПАТ АФ"Яворник" -Дата видачi 14.08.1991р.</w:t>
            </w:r>
          </w:p>
        </w:tc>
        <w:tc>
          <w:tcPr>
            <w:tcW w:w="31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721624"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товариства</w:t>
            </w:r>
          </w:p>
        </w:tc>
        <w:tc>
          <w:tcPr>
            <w:tcW w:w="3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Регулює дiяльнiсть товариства </w:t>
            </w:r>
          </w:p>
        </w:tc>
        <w:tc>
          <w:tcPr>
            <w:tcW w:w="31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721624"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випуск акцiй</w:t>
            </w:r>
          </w:p>
        </w:tc>
        <w:tc>
          <w:tcPr>
            <w:tcW w:w="32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реєстрацiю випуску акцiй видане Нацiональною комiсiєю з цiнних паперiв та фондового ринку 04 лютого 2002 року, свiдоцтво про реєстрацiю випуску акцiй № 50/1/02.Дата видачi свiдоцтва 25 листопада 2013 року.</w:t>
            </w:r>
          </w:p>
        </w:tc>
        <w:tc>
          <w:tcPr>
            <w:tcW w:w="3100"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rPr>
        <w:sectPr w:rsidR="00721624">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721624" w:rsidTr="004146CE">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721624" w:rsidTr="004146CE">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721624" w:rsidRDefault="00721624"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01.01.2023</w:t>
            </w:r>
          </w:p>
        </w:tc>
      </w:tr>
      <w:tr w:rsidR="00721624" w:rsidTr="004146CE">
        <w:tblPrEx>
          <w:tblCellMar>
            <w:top w:w="0" w:type="dxa"/>
            <w:bottom w:w="0" w:type="dxa"/>
          </w:tblCellMar>
        </w:tblPrEx>
        <w:trPr>
          <w:trHeight w:val="298"/>
        </w:trPr>
        <w:tc>
          <w:tcPr>
            <w:tcW w:w="2160" w:type="dxa"/>
            <w:tcBorders>
              <w:top w:val="nil"/>
              <w:left w:val="nil"/>
              <w:bottom w:val="nil"/>
              <w:right w:val="nil"/>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721624" w:rsidRDefault="00721624"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r w:rsidR="00721624" w:rsidTr="004146CE">
        <w:tblPrEx>
          <w:tblCellMar>
            <w:top w:w="0" w:type="dxa"/>
            <w:bottom w:w="0" w:type="dxa"/>
          </w:tblCellMar>
        </w:tblPrEx>
        <w:trPr>
          <w:trHeight w:val="298"/>
        </w:trPr>
        <w:tc>
          <w:tcPr>
            <w:tcW w:w="2160" w:type="dxa"/>
            <w:tcBorders>
              <w:top w:val="nil"/>
              <w:left w:val="nil"/>
              <w:bottom w:val="nil"/>
              <w:right w:val="nil"/>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Закарпатська обл.</w:t>
            </w:r>
          </w:p>
        </w:tc>
        <w:tc>
          <w:tcPr>
            <w:tcW w:w="1654" w:type="dxa"/>
            <w:tcBorders>
              <w:top w:val="nil"/>
              <w:left w:val="nil"/>
              <w:bottom w:val="nil"/>
              <w:right w:val="single" w:sz="6" w:space="0" w:color="auto"/>
            </w:tcBorders>
            <w:vAlign w:val="center"/>
          </w:tcPr>
          <w:p w:rsidR="00721624" w:rsidRDefault="00721624"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UA21100030000089881</w:t>
            </w:r>
          </w:p>
        </w:tc>
      </w:tr>
      <w:tr w:rsidR="00721624" w:rsidTr="004146CE">
        <w:tblPrEx>
          <w:tblCellMar>
            <w:top w:w="0" w:type="dxa"/>
            <w:bottom w:w="0" w:type="dxa"/>
          </w:tblCellMar>
        </w:tblPrEx>
        <w:trPr>
          <w:trHeight w:val="298"/>
        </w:trPr>
        <w:tc>
          <w:tcPr>
            <w:tcW w:w="2160" w:type="dxa"/>
            <w:tcBorders>
              <w:top w:val="nil"/>
              <w:left w:val="nil"/>
              <w:bottom w:val="nil"/>
              <w:right w:val="nil"/>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721624" w:rsidRDefault="00721624"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721624" w:rsidTr="004146CE">
        <w:tblPrEx>
          <w:tblCellMar>
            <w:top w:w="0" w:type="dxa"/>
            <w:bottom w:w="0" w:type="dxa"/>
          </w:tblCellMar>
        </w:tblPrEx>
        <w:trPr>
          <w:trHeight w:val="298"/>
        </w:trPr>
        <w:tc>
          <w:tcPr>
            <w:tcW w:w="2160" w:type="dxa"/>
            <w:tcBorders>
              <w:top w:val="nil"/>
              <w:left w:val="nil"/>
              <w:bottom w:val="nil"/>
              <w:right w:val="nil"/>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інших меблів</w:t>
            </w:r>
          </w:p>
        </w:tc>
        <w:tc>
          <w:tcPr>
            <w:tcW w:w="1654" w:type="dxa"/>
            <w:tcBorders>
              <w:top w:val="nil"/>
              <w:left w:val="nil"/>
              <w:bottom w:val="nil"/>
              <w:right w:val="single" w:sz="6" w:space="0" w:color="auto"/>
            </w:tcBorders>
            <w:vAlign w:val="center"/>
          </w:tcPr>
          <w:p w:rsidR="00721624" w:rsidRDefault="00721624"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31.09</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1</w:t>
      </w:r>
    </w:p>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89000 смт.Великий Березний, Захисникiв України,1, +380660083630</w:t>
      </w:r>
    </w:p>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8280"/>
        <w:gridCol w:w="1720"/>
      </w:tblGrid>
      <w:tr w:rsidR="00721624" w:rsidTr="004146CE">
        <w:tblPrEx>
          <w:tblCellMar>
            <w:top w:w="0" w:type="dxa"/>
            <w:bottom w:w="0" w:type="dxa"/>
          </w:tblCellMar>
        </w:tblPrEx>
        <w:trPr>
          <w:trHeight w:val="298"/>
        </w:trPr>
        <w:tc>
          <w:tcPr>
            <w:tcW w:w="8280" w:type="dxa"/>
            <w:vMerge w:val="restart"/>
            <w:tcBorders>
              <w:top w:val="nil"/>
              <w:left w:val="nil"/>
              <w:bottom w:val="nil"/>
              <w:right w:val="nil"/>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r>
      <w:tr w:rsidR="00721624" w:rsidTr="004146CE">
        <w:tblPrEx>
          <w:tblCellMar>
            <w:top w:w="0" w:type="dxa"/>
            <w:bottom w:w="0" w:type="dxa"/>
          </w:tblCellMar>
        </w:tblPrEx>
        <w:trPr>
          <w:trHeight w:val="298"/>
        </w:trPr>
        <w:tc>
          <w:tcPr>
            <w:tcW w:w="8280" w:type="dxa"/>
            <w:vMerge w:val="restart"/>
            <w:tcBorders>
              <w:top w:val="nil"/>
              <w:left w:val="nil"/>
              <w:bottom w:val="nil"/>
              <w:right w:val="nil"/>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31.12.2022 p.</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721624" w:rsidTr="004146CE">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721624" w:rsidRDefault="00721624"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721624" w:rsidTr="004146CE">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13 744</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13 744</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10 869</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10 869</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( 8 607 )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( 8 607 )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721624" w:rsidTr="004146CE">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r w:rsidR="00721624" w:rsidTr="004146CE">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-38 820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-47 357</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( 489 )</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( 489 )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-19 218</w:t>
            </w: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-27 755</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25 192</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33 771</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9 986</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10 009</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2 240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2 175</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37 418</w:t>
            </w: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45 955</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r>
    </w:tbl>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sectPr w:rsidR="00721624">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721624" w:rsidTr="004146CE">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721624" w:rsidTr="004146CE">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721624" w:rsidRDefault="00721624"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01.01.2023</w:t>
            </w:r>
          </w:p>
        </w:tc>
      </w:tr>
      <w:tr w:rsidR="00721624" w:rsidTr="004146CE">
        <w:tblPrEx>
          <w:tblCellMar>
            <w:top w:w="0" w:type="dxa"/>
            <w:bottom w:w="0" w:type="dxa"/>
          </w:tblCellMar>
        </w:tblPrEx>
        <w:trPr>
          <w:trHeight w:val="298"/>
        </w:trPr>
        <w:tc>
          <w:tcPr>
            <w:tcW w:w="2160" w:type="dxa"/>
            <w:tcBorders>
              <w:top w:val="nil"/>
              <w:left w:val="nil"/>
              <w:bottom w:val="nil"/>
              <w:right w:val="nil"/>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721624" w:rsidRDefault="00721624"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2022 рік</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721624" w:rsidTr="004146CE">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721624" w:rsidRDefault="00721624"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721624" w:rsidTr="004146CE">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966</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( 8 826 )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( 1 098 )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( 8 537 )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( 132 )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( 8 537 )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( 132 )</w:t>
            </w:r>
          </w:p>
        </w:tc>
      </w:tr>
    </w:tbl>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721624" w:rsidTr="004146CE">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966</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w:t>
            </w: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966</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w:t>
            </w: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966</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-8 248</w:t>
            </w: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834</w:t>
            </w:r>
          </w:p>
        </w:tc>
      </w:tr>
    </w:tbl>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721624" w:rsidTr="004146CE">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8 826</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1 098</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8 826</w:t>
            </w: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1 098</w:t>
            </w:r>
          </w:p>
        </w:tc>
      </w:tr>
    </w:tbl>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721624" w:rsidTr="004146CE">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sectPr w:rsidR="00721624">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90"/>
        <w:gridCol w:w="1990"/>
        <w:gridCol w:w="1360"/>
      </w:tblGrid>
      <w:tr w:rsidR="00721624" w:rsidTr="004146CE">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721624" w:rsidTr="004146CE">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01.01.2023</w:t>
            </w:r>
          </w:p>
        </w:tc>
      </w:tr>
      <w:tr w:rsidR="00721624" w:rsidTr="004146CE">
        <w:tblPrEx>
          <w:tblCellMar>
            <w:top w:w="0" w:type="dxa"/>
            <w:bottom w:w="0" w:type="dxa"/>
          </w:tblCellMar>
        </w:tblPrEx>
        <w:tc>
          <w:tcPr>
            <w:tcW w:w="2160" w:type="dxa"/>
            <w:tcBorders>
              <w:top w:val="nil"/>
              <w:left w:val="nil"/>
              <w:bottom w:val="nil"/>
              <w:right w:val="nil"/>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990" w:type="dxa"/>
            <w:tcBorders>
              <w:top w:val="nil"/>
              <w:left w:val="nil"/>
              <w:bottom w:val="nil"/>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2022 рік</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721624" w:rsidTr="004146CE">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721624" w:rsidRDefault="00721624"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right"/>
              <w:rPr>
                <w:rFonts w:ascii="Times New Roman CYR" w:hAnsi="Times New Roman CYR" w:cs="Times New Roman CYR"/>
              </w:rPr>
            </w:pPr>
          </w:p>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966</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( 8 826 )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( 1 098 )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-8 537</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( 211 )</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-8 537</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sectPr w:rsidR="00721624">
          <w:pgSz w:w="12240" w:h="15840"/>
          <w:pgMar w:top="570" w:right="720" w:bottom="570" w:left="720" w:header="708" w:footer="708" w:gutter="0"/>
          <w:cols w:space="720"/>
          <w:noEndnote/>
        </w:sectPr>
      </w:pPr>
    </w:p>
    <w:tbl>
      <w:tblPr>
        <w:tblW w:w="0" w:type="auto"/>
        <w:tblInd w:w="3168" w:type="dxa"/>
        <w:tblLayout w:type="fixed"/>
        <w:tblLook w:val="0000"/>
      </w:tblPr>
      <w:tblGrid>
        <w:gridCol w:w="2240"/>
        <w:gridCol w:w="5500"/>
        <w:gridCol w:w="1800"/>
        <w:gridCol w:w="2000"/>
      </w:tblGrid>
      <w:tr w:rsidR="00721624" w:rsidTr="004146CE">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721624" w:rsidTr="004146CE">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01.01.2023</w:t>
            </w:r>
          </w:p>
        </w:tc>
      </w:tr>
      <w:tr w:rsidR="00721624" w:rsidTr="004146CE">
        <w:tblPrEx>
          <w:tblCellMar>
            <w:top w:w="0" w:type="dxa"/>
            <w:bottom w:w="0" w:type="dxa"/>
          </w:tblCellMar>
        </w:tblPrEx>
        <w:tc>
          <w:tcPr>
            <w:tcW w:w="2240" w:type="dxa"/>
            <w:tcBorders>
              <w:top w:val="nil"/>
              <w:left w:val="nil"/>
              <w:bottom w:val="nil"/>
              <w:right w:val="nil"/>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800" w:type="dxa"/>
            <w:tcBorders>
              <w:top w:val="nil"/>
              <w:left w:val="nil"/>
              <w:bottom w:val="nil"/>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2022 рік</w:t>
      </w:r>
    </w:p>
    <w:p w:rsidR="00721624" w:rsidRDefault="00721624" w:rsidP="007216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721624" w:rsidTr="004146CE">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721624" w:rsidRDefault="00721624"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721624" w:rsidRDefault="00721624"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721624" w:rsidTr="004146CE">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-38 820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-19 218</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-38 820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-19 218</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-8 537</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-8 537</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-8 537</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-8 537</w:t>
            </w:r>
          </w:p>
        </w:tc>
      </w:tr>
      <w:tr w:rsidR="00721624"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721624" w:rsidRDefault="00721624"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-47 357</w:t>
            </w:r>
          </w:p>
        </w:tc>
        <w:tc>
          <w:tcPr>
            <w:tcW w:w="15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300" w:type="dxa"/>
            <w:gridSpan w:val="2"/>
            <w:tcBorders>
              <w:top w:val="single" w:sz="6" w:space="0" w:color="auto"/>
              <w:left w:val="single" w:sz="6" w:space="0" w:color="auto"/>
              <w:bottom w:val="single" w:sz="6" w:space="0" w:color="auto"/>
              <w:right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21624" w:rsidRDefault="00721624"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-27 755</w:t>
            </w:r>
          </w:p>
        </w:tc>
      </w:tr>
    </w:tbl>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sectPr w:rsidR="00721624">
          <w:pgSz w:w="16838" w:h="11906" w:orient="landscape"/>
          <w:pgMar w:top="570" w:right="720" w:bottom="570" w:left="720" w:header="708" w:footer="708" w:gutter="0"/>
          <w:cols w:space="720"/>
          <w:noEndnote/>
        </w:sect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rPr>
        <w:sectPr w:rsidR="00721624">
          <w:pgSz w:w="16838" w:h="11906" w:orient="landscape"/>
          <w:pgMar w:top="570" w:right="720" w:bottom="570" w:left="720" w:header="708" w:footer="708" w:gutter="0"/>
          <w:cols w:space="720"/>
          <w:noEndnote/>
        </w:sect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фінансової звітності, складеної відповідно до міжнародних стандартів фінансової звітності</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Статуту ПАТ "ЯВОРНИК" (нова редакцiя) затвердженого Загальними зборами акцiонерiв ВАТ протокол № 1 вiд 29 березня 2013р. та зареєстрованого Великоберезнянською державною аднiмiстрацiєю за №1 311 105 0028 000170 вiд 16.05.2013р. статутний фонд Товариства становить 20 091 030 грн. Кiлькiсть простих iменних акцiй 2 009 103 шт., номiнальною вартiстю 10 грн. Форма випуску -бездокументарна.</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Свiдоцтво про реєстрацiю випуску акцiй видане Нацiональною комiсiєю з цiнних паперiв та фондового ринку 04 лютого 2002 року, свiдоцтво про реєстрацiю випуску акцiй № 50/1/02.Дата видачi свiдоцтва 25 листопада 2013 року.</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випуску - бездокументарна.).</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Основнi засоби</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облiкової полiтики та вiдповiдно п.29 МСБО 16, Товариство обрало метод облiку основних засобiв: модель собiвартостi за п. 30 "Пiсля визнання активом, об'єкт основних засобiв облiковується за його собiвартiстю мiнус накопичена амортизацiя та будь-якi накопиченi збитки вiд зменшення корисностi".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Первинна вартiсть основних засобiв, на балансi станом на 31.12.2022 р., складає 10869 тис. грн. Знос станом на 31.12.2022 р. складає 8607 тис.грн., залишкова вартiсть основних засобiв станом на 31.12.2021р. - 2262 тис. грн.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основних засобiв станом на 31.12.2022 р. вiдповiдно МСФЗ не переоцiнена та вiдображена в облiку по залишковiй вартостi.</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нараховувалась прямолiнiйним методом. Термiн амортизацiї 2-3-5-20-50 рокiв в залежностi вiд технiчної характеристики основного засобу. Амортизацiя нараховується з мiсяця, що слiдує за мiсяцем вводу в експлуатацiю об'єкта основних засобiв. Надходження пiдтвердженнi первинними документами на придбання та оцiненi за вартiстю придбання.</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Незавершенi капiтальнi iнвестицiї складають -13744 тис.грн.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Оборотнi активи</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товарно-матерiальних цiнностей вiдбувається, виходячи з первинних документiв, за цiнами та в кiлькостi зазначених в них та при трансформацiї звiтностi в вiдповiдностi з облiковою полiтикою Товариства i в частинi вимог п.9 та 10 МСБО 2. Порушень при веденнi облiку руху товарно-матерiальних цiнностей перевiркою не виявлено. НаТовариствi для оцiнки вибуття запасiв використовували метод собiвартостi перших за часом надходження запасiв, який залишався незмiнним протягом перевiреного перiоду. Амортизацiя МБП нараховувалася в першому мiсяцi їх використання в розмiрi 100% їх вартостi. До складу малоцiнних необоротних активiв включалися активи вартiстю до 2500 грн.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Iнвентаризацiя запасiв проводилася.</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товарно-матерiальних цiнностей вiвся на активному балансовому рахунку 20 "Виробничi запаси".</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31.12.2022 р. на балансi Товариства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 -0</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Сировина й матерiали -0</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0</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Дебiторської заборгованостi за товари роботи станом на 31.12.2022р. немає. Резерв сумнiвних боргiв не розраховувся.</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поточна дебiторська заборгованiсть станом на 31.12.2022р. складає 103 тис.грн.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31.12.2022 року залишок грошових коштiв в нацiональнiй валютi становить 0.00 тис. грн.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поточнi зобов'язання  9318 ти.грн.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розрахункiв з пiдзвiтними особами вiвся згiдно первинних документiв.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облiк та оцiнка зобов`язань вiдповiдає, прийнятiй на Товариствi полiтицi. </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результатами дiяльностi Товариство отримало фiнансовий результат в розмiрi - 0.00 тис.грн.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721624" w:rsidRDefault="00721624" w:rsidP="00721624">
      <w:pPr>
        <w:widowControl w:val="0"/>
        <w:autoSpaceDE w:val="0"/>
        <w:autoSpaceDN w:val="0"/>
        <w:adjustRightInd w:val="0"/>
        <w:spacing w:after="0" w:line="240" w:lineRule="auto"/>
        <w:jc w:val="both"/>
        <w:rPr>
          <w:rFonts w:ascii="Times New Roman CYR" w:hAnsi="Times New Roman CYR" w:cs="Times New Roman CYR"/>
          <w:sz w:val="24"/>
          <w:szCs w:val="24"/>
        </w:rPr>
        <w:sectPr w:rsidR="00721624">
          <w:pgSz w:w="16838" w:h="11906" w:orient="landscape"/>
          <w:pgMar w:top="570" w:right="720" w:bottom="570" w:left="720" w:header="708" w:footer="708" w:gutter="0"/>
          <w:cols w:space="720"/>
          <w:noEndnote/>
        </w:sect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721624" w:rsidRDefault="00721624" w:rsidP="00721624">
      <w:pPr>
        <w:widowControl w:val="0"/>
        <w:autoSpaceDE w:val="0"/>
        <w:autoSpaceDN w:val="0"/>
        <w:adjustRightInd w:val="0"/>
        <w:spacing w:after="0" w:line="240" w:lineRule="auto"/>
        <w:rPr>
          <w:rFonts w:ascii="Times New Roman CYR" w:hAnsi="Times New Roman CYR" w:cs="Times New Roman CYR"/>
          <w:sz w:val="24"/>
          <w:szCs w:val="24"/>
        </w:rPr>
      </w:pPr>
    </w:p>
    <w:p w:rsidR="00830A5B" w:rsidRPr="00721624" w:rsidRDefault="00830A5B" w:rsidP="00721624"/>
    <w:sectPr w:rsidR="00830A5B" w:rsidRPr="00721624">
      <w:pgSz w:w="16838" w:h="11906" w:orient="landscape"/>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D05A2"/>
    <w:rsid w:val="001D05A2"/>
    <w:rsid w:val="00721624"/>
    <w:rsid w:val="00830A5B"/>
    <w:rsid w:val="00C20789"/>
    <w:rsid w:val="00F71A76"/>
    <w:rsid w:val="00FB618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5A2"/>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62811</Words>
  <Characters>35803</Characters>
  <Application>Microsoft Office Word</Application>
  <DocSecurity>0</DocSecurity>
  <Lines>298</Lines>
  <Paragraphs>196</Paragraphs>
  <ScaleCrop>false</ScaleCrop>
  <Company>PIB</Company>
  <LinksUpToDate>false</LinksUpToDate>
  <CharactersWithSpaces>98418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7</cp:revision>
  <dcterms:created xsi:type="dcterms:W3CDTF">2025-11-02T12:30:00Z</dcterms:created>
  <dcterms:modified xsi:type="dcterms:W3CDTF">2025-11-05T15:24:00Z</dcterms:modified>
</cp:coreProperties>
</file>