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E0624C" w:rsidTr="00A513C2">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E0624C" w:rsidTr="00A513C2">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0624C" w:rsidTr="00A513C2">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r>
      <w:tr w:rsidR="00E0624C" w:rsidTr="00A513C2">
        <w:tblPrEx>
          <w:tblCellMar>
            <w:top w:w="0" w:type="dxa"/>
            <w:bottom w:w="0" w:type="dxa"/>
          </w:tblCellMar>
        </w:tblPrEx>
        <w:trPr>
          <w:trHeight w:val="300"/>
        </w:trPr>
        <w:tc>
          <w:tcPr>
            <w:tcW w:w="5230" w:type="dxa"/>
            <w:tcBorders>
              <w:top w:val="nil"/>
              <w:left w:val="nil"/>
              <w:bottom w:val="nil"/>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E0624C" w:rsidTr="00A513C2">
        <w:tblPrEx>
          <w:tblCellMar>
            <w:top w:w="0" w:type="dxa"/>
            <w:bottom w:w="0" w:type="dxa"/>
          </w:tblCellMar>
        </w:tblPrEx>
        <w:trPr>
          <w:trHeight w:val="300"/>
        </w:trPr>
        <w:tc>
          <w:tcPr>
            <w:tcW w:w="10465" w:type="dxa"/>
            <w:tcBorders>
              <w:top w:val="nil"/>
              <w:left w:val="nil"/>
              <w:bottom w:val="nil"/>
              <w:right w:val="nil"/>
            </w:tcBorders>
            <w:vAlign w:val="bottom"/>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E0624C" w:rsidTr="00A513C2">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E0624C" w:rsidTr="00A513C2">
        <w:tblPrEx>
          <w:tblCellMar>
            <w:top w:w="0" w:type="dxa"/>
            <w:bottom w:w="0" w:type="dxa"/>
          </w:tblCellMar>
        </w:tblPrEx>
        <w:trPr>
          <w:trHeight w:val="200"/>
        </w:trPr>
        <w:tc>
          <w:tcPr>
            <w:tcW w:w="3415"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2016 рік</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2016 рiк</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E0624C" w:rsidTr="00A513C2">
        <w:tblPrEx>
          <w:tblCellMar>
            <w:top w:w="0" w:type="dxa"/>
            <w:bottom w:w="0" w:type="dxa"/>
          </w:tblCellMar>
        </w:tblPrEx>
        <w:trPr>
          <w:trHeight w:val="300"/>
        </w:trPr>
        <w:tc>
          <w:tcPr>
            <w:tcW w:w="3415" w:type="dxa"/>
            <w:vMerge w:val="restart"/>
            <w:tcBorders>
              <w:top w:val="nil"/>
              <w:left w:val="nil"/>
              <w:bottom w:val="nil"/>
              <w:right w:val="nil"/>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01.09.2025</w:t>
            </w:r>
          </w:p>
        </w:tc>
      </w:tr>
      <w:tr w:rsidR="00E0624C" w:rsidTr="00A513C2">
        <w:tblPrEx>
          <w:tblCellMar>
            <w:top w:w="0" w:type="dxa"/>
            <w:bottom w:w="0" w:type="dxa"/>
          </w:tblCellMar>
        </w:tblPrEx>
        <w:trPr>
          <w:trHeight w:val="300"/>
        </w:trPr>
        <w:tc>
          <w:tcPr>
            <w:tcW w:w="3415" w:type="dxa"/>
            <w:vMerge/>
            <w:tcBorders>
              <w:top w:val="nil"/>
              <w:left w:val="nil"/>
              <w:bottom w:val="nil"/>
              <w:right w:val="nil"/>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sectPr w:rsidR="00E0624C">
          <w:pgSz w:w="12240" w:h="15840"/>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за 2016 рiк.</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надають забезпечення за зобовязаннями емiтента" не заповнюється, оскiльки забезпечення зобов'язань вiдсутнi.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"Змiна прав на акцiї" -  Iнформацiя вiдсутня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ВИРОБНОЧОЇ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Загальнi збори у звiтному роцi не скликались.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ПРАКТИЧНО НЕ ЗДIЙСНЮЄ ВИРОБНОЧОЇ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1.1.5.4.Iнформацiя про одноосiбний виконавчий орган.- у товариства вiдсутнiй одноосiбний виконавчий орган.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Виконавчим органом.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ради на безоплатнiй основi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та члени правлiння  правлiння  на безоплатнiй основi.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1.3.7.Складова змiсту " Iнформацiя щодо наявностi у емiтента дiлових вiдносин з </w:t>
      </w:r>
      <w:r>
        <w:rPr>
          <w:rFonts w:ascii="Times New Roman CYR" w:hAnsi="Times New Roman CYR" w:cs="Times New Roman CYR"/>
          <w:sz w:val="24"/>
          <w:szCs w:val="24"/>
        </w:rPr>
        <w:lastRenderedPageBreak/>
        <w:t>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будуть розкритi у звiтi за 2025 рiк.</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sectPr w:rsidR="00E0624C">
          <w:pgSz w:w="12240" w:h="15840"/>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sectPr w:rsidR="00E0624C">
          <w:pgSz w:w="12240" w:h="15840"/>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298/501/15</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22.05.2015</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Великоберезнянський районний суд</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ВЕЛИКОБЕРЕЗНЯНСЬКИЙ МIЖРАЙОННИЙ ВIДДIЛ ДЕРЖАВНОЇ ВИКОНАВЧОЇ СЛУЖБИ ПIВДЕННО-ЗАХIДНОГО МIЖРЕГIОНАЛЬНОГО УПРАВЛIННЯ МIНIСТЕРСТВА ЮСТИЦIЇ (М. IВАНО-ФРАНКIВСЬК)</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Публiчне акцiонерне товариство Акцiонерна фiрма Яворник</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Перечинське об'єднане управлiння Пенсiйного фонду України в Закарпатськiй областi</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Заборгованiсть по пiльгових пенсiях,</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Справа № 298/501/15-ц</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Iменем України</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 червня 2016 року м. Ужгород</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Колегiя суддiв судової палати в цивiльних справах апеляцiйного суду Закарпатської областi</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складi : головуючого - суддi Мацунича М.В.</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суддiв : Iгнатюка Б.Ю., Куштана Б.П.</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участю секретаря : Терпай С.М.</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розглянувши у вiдкритому судовому засiданнi в м. Ужгород цивiльну справу за апеляцiйною скаргою ОСОБА_1 на рiшення Великоберезнянського районного суду вiд 15 квiтня 2016 року за позовом ОСОБА_1 до Публiчного акцiонерного товариства Акцiонерна фiрма В"ЯворникВ" , де третьою особою без самостiйних вимог є : Управлiння Пенсiйного фонду у Великоберезнянському районi про встановлення факту роботи в шкiдливих </w:t>
            </w:r>
            <w:r>
              <w:rPr>
                <w:rFonts w:ascii="Times New Roman CYR" w:hAnsi="Times New Roman CYR" w:cs="Times New Roman CYR"/>
                <w:sz w:val="20"/>
                <w:szCs w:val="20"/>
              </w:rPr>
              <w:lastRenderedPageBreak/>
              <w:t xml:space="preserve">умовах працi, визнання дiй неправомiрними та зобов'язання видати уточнюючу довiдку, </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 Розгляд продовжується</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пенсiям)</w:t>
            </w:r>
          </w:p>
        </w:tc>
        <w:tc>
          <w:tcPr>
            <w:tcW w:w="38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Заборгованiсть не виплачена.</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sectPr w:rsidR="00E0624C">
          <w:pgSz w:w="16837" w:h="11905" w:orient="landscape"/>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rPr>
        <w:sectPr w:rsidR="00E0624C">
          <w:pgSz w:w="12240" w:h="15840"/>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на ВАТ.</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 заст.директора по економiчним питанням  Знаходилась у товариствi на безоплатнiй основi.</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 нерезидент.</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в.о.гол.бухгалтер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E0624C" w:rsidTr="00A513C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E0624C" w:rsidTr="00A513C2">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0624C" w:rsidTr="00A513C2">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0624C" w:rsidTr="00A513C2">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0"/>
          <w:szCs w:val="20"/>
        </w:rPr>
        <w:sectPr w:rsidR="00E0624C">
          <w:pgSz w:w="16837" w:h="11905" w:orient="landscape"/>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ПРАЦЮЄ</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даними з податкових реєстрiв України юридична особа ПАТ "АКЦIОНЕРНА ФIРМА "ЯВОРНИК", Перебуває на облiку в органах доходiв та зборiв, Анульоване свiдоцтво ПДВ в реєстрi платникiв ПДВ i Вiдсутня реєстрацiя в Реєстрi неприбуткових установ та органiзацiй.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__________________________________________________________________________________________________</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w:t>
      </w:r>
      <w:r>
        <w:rPr>
          <w:rFonts w:ascii="Times New Roman CYR" w:hAnsi="Times New Roman CYR" w:cs="Times New Roman CYR"/>
          <w:sz w:val="24"/>
          <w:szCs w:val="24"/>
        </w:rPr>
        <w:lastRenderedPageBreak/>
        <w:t>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2016 року середньооблiкова чисельнiсть штатних працiвникiв облiкового складу складає 0 осiб.</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2015р. складав 0 тис.грн.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E0624C" w:rsidTr="00A513C2">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0624C" w:rsidTr="00A513C2">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3 085</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3 085</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2 215</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759</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759</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3 085</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3 085</w:t>
            </w:r>
          </w:p>
        </w:tc>
        <w:tc>
          <w:tcPr>
            <w:tcW w:w="1082"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E0624C" w:rsidTr="00A513C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Орендованих i зданих в оренду основних засобiв немає. Коефiцiєнт зносу основних засобiв дорiвнює 72,9 %. Такий рiвень зносу свiдчить про те , що основнi засоби на пiдприємствi знаходяться в зношеному станi. За звiтний переод основнi засоби вибували, але не придбавалися. </w:t>
            </w:r>
            <w:r>
              <w:rPr>
                <w:rFonts w:ascii="Times New Roman CYR" w:hAnsi="Times New Roman CYR" w:cs="Times New Roman CYR"/>
              </w:rPr>
              <w:lastRenderedPageBreak/>
              <w:t xml:space="preserve">Обмежень на використання майна - частина майна арештована вiдiлом ДВС В.Березнянського РУЮ згiдно рiшення суду. </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E0624C" w:rsidTr="00A513C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0624C" w:rsidTr="00A513C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11 697</w:t>
            </w:r>
          </w:p>
        </w:tc>
      </w:tr>
      <w:tr w:rsidR="00E0624C" w:rsidTr="00A513C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E0624C" w:rsidTr="00A513C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E0624C" w:rsidTr="00A513C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E0624C" w:rsidTr="00A513C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0624C" w:rsidTr="00A513C2">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w:t>
            </w:r>
          </w:p>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E0624C" w:rsidTr="00A513C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0624C" w:rsidTr="00A513C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c>
          <w:tcPr>
            <w:tcW w:w="194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Iвано-Франкiвська обл., м.Iвано-Франкiвськ, Мiцкевича,буд.6,офiс 5</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0624C" w:rsidTr="00A513C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rPr>
        <w:sectPr w:rsidR="00E0624C">
          <w:pgSz w:w="12240" w:h="15840"/>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0624C" w:rsidTr="00A513C2">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0624C" w:rsidTr="00A513C2">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E0624C" w:rsidTr="00A513C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E0624C" w:rsidTr="00A513C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0624C" w:rsidTr="00A513C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0624C" w:rsidTr="00A513C2">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E0624C" w:rsidTr="00A513C2">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0624C" w:rsidTr="00A513C2">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0624C" w:rsidTr="00A513C2">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rPr>
        <w:sectPr w:rsidR="00E0624C">
          <w:pgSz w:w="16837" w:h="11905" w:orient="landscape"/>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E0624C" w:rsidTr="00A513C2">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0624C" w:rsidTr="00A513C2">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0624C" w:rsidTr="00A513C2">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31,09 - Виробництво iнших меблiв</w:t>
            </w:r>
          </w:p>
        </w:tc>
        <w:tc>
          <w:tcPr>
            <w:tcW w:w="29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29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Хiлько Т.В.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зверталась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w:t>
      </w:r>
      <w:r>
        <w:rPr>
          <w:rFonts w:ascii="Times New Roman CYR" w:hAnsi="Times New Roman CYR" w:cs="Times New Roman CYR"/>
          <w:sz w:val="24"/>
          <w:szCs w:val="24"/>
        </w:rPr>
        <w:lastRenderedPageBreak/>
        <w:t>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ВАТ(ПАТ)АФ "Яворник" та ""КАI Європи S.A." дiяли як учасники договору "Про спiльну iнвестицiйну дiяльнiсть".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були задiянi в виробництво по спiльнiй дiяльностi з iнвестором.</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регулюється чинним законодавством та статутому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надання всієї інформації, яка необхідна акціонерам для сприяння </w:t>
            </w:r>
            <w:r>
              <w:rPr>
                <w:rFonts w:ascii="Times New Roman CYR" w:hAnsi="Times New Roman CYR" w:cs="Times New Roman CYR"/>
                <w:sz w:val="24"/>
                <w:szCs w:val="24"/>
              </w:rPr>
              <w:lastRenderedPageBreak/>
              <w:t>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розкриває звіт щодо аспектів </w:t>
            </w:r>
            <w:r>
              <w:rPr>
                <w:rFonts w:ascii="Times New Roman CYR" w:hAnsi="Times New Roman CYR" w:cs="Times New Roman CYR"/>
                <w:sz w:val="24"/>
                <w:szCs w:val="24"/>
              </w:rPr>
              <w:lastRenderedPageBreak/>
              <w:t>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Обов'язковiсть не передбачена чинним </w:t>
            </w:r>
            <w:r>
              <w:rPr>
                <w:rFonts w:ascii="Times New Roman CYR" w:hAnsi="Times New Roman CYR" w:cs="Times New Roman CYR"/>
                <w:sz w:val="24"/>
                <w:szCs w:val="24"/>
              </w:rPr>
              <w:lastRenderedPageBreak/>
              <w:t>законодавством.</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наглядової ради відбувається на основі професійних якостей, досягнень і відповідності кандидатів </w:t>
            </w:r>
            <w:r>
              <w:rPr>
                <w:rFonts w:ascii="Times New Roman CYR" w:hAnsi="Times New Roman CYR" w:cs="Times New Roman CYR"/>
                <w:sz w:val="24"/>
                <w:szCs w:val="24"/>
              </w:rPr>
              <w:lastRenderedPageBreak/>
              <w:t>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Зазначенi вимоги Статутом Товариства та/або внутрiшнiми положеннями не передбаченi.Статутом i Положенням Про наглядову раду Товариства встановлено, </w:t>
            </w:r>
            <w:r>
              <w:rPr>
                <w:rFonts w:ascii="Times New Roman CYR" w:hAnsi="Times New Roman CYR" w:cs="Times New Roman CYR"/>
                <w:sz w:val="24"/>
                <w:szCs w:val="24"/>
              </w:rPr>
              <w:lastRenderedPageBreak/>
              <w:t>що Наглядова рада складається з 3 (трьох) членiв, якi обираються Загальними зборами строком на 3 (три) роки.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обрано </w:t>
            </w:r>
            <w:r>
              <w:rPr>
                <w:rFonts w:ascii="Times New Roman CYR" w:hAnsi="Times New Roman CYR" w:cs="Times New Roman CYR"/>
                <w:sz w:val="24"/>
                <w:szCs w:val="24"/>
              </w:rPr>
              <w:lastRenderedPageBreak/>
              <w:t>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вiдсутнi Незалежнi Члени </w:t>
            </w:r>
            <w:r>
              <w:rPr>
                <w:rFonts w:ascii="Times New Roman CYR" w:hAnsi="Times New Roman CYR" w:cs="Times New Roman CYR"/>
                <w:sz w:val="24"/>
                <w:szCs w:val="24"/>
              </w:rPr>
              <w:lastRenderedPageBreak/>
              <w:t>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має механізми </w:t>
            </w:r>
            <w:r>
              <w:rPr>
                <w:rFonts w:ascii="Times New Roman CYR" w:hAnsi="Times New Roman CYR" w:cs="Times New Roman CYR"/>
                <w:sz w:val="24"/>
                <w:szCs w:val="24"/>
              </w:rPr>
              <w:lastRenderedPageBreak/>
              <w:t>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E0624C" w:rsidTr="00A513C2">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w:t>
            </w:r>
            <w:r>
              <w:rPr>
                <w:rFonts w:ascii="Times New Roman CYR" w:hAnsi="Times New Roman CYR" w:cs="Times New Roman CYR"/>
                <w:sz w:val="24"/>
                <w:szCs w:val="24"/>
              </w:rPr>
              <w:lastRenderedPageBreak/>
              <w:t>процедура щорiчної самооцiнки членiв ради.</w:t>
            </w:r>
          </w:p>
        </w:tc>
      </w:tr>
      <w:tr w:rsidR="00E0624C" w:rsidTr="00A513C2">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E0624C" w:rsidTr="00A513C2">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0624C" w:rsidTr="00A513C2">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виробничої дiяльностi . Засiдання вiдсутнi.</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2015-2016 роках р.не скликалися, вiдповiдно наглядова рада не звiтувалась перед акцiонерами  про пророблену роботу.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E0624C" w:rsidTr="00A513C2">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виконавчого органу, строк повноважень у </w:t>
            </w:r>
            <w:r>
              <w:rPr>
                <w:rFonts w:ascii="Times New Roman CYR" w:hAnsi="Times New Roman CYR" w:cs="Times New Roman CYR"/>
              </w:rPr>
              <w:lastRenderedPageBreak/>
              <w:t>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w:t>
            </w:r>
            <w:r>
              <w:rPr>
                <w:rFonts w:ascii="Times New Roman CYR" w:hAnsi="Times New Roman CYR" w:cs="Times New Roman CYR"/>
              </w:rPr>
              <w:lastRenderedPageBreak/>
              <w:t>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ab/>
              <w:t>Голова / член комітету виконавчого органу</w:t>
            </w:r>
          </w:p>
        </w:tc>
      </w:tr>
      <w:tr w:rsidR="00E0624C" w:rsidTr="00A513C2">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0624C" w:rsidTr="00A513C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 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w:t>
            </w:r>
          </w:p>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Наявність затвердженого документу (документів), який(які) визначає(ють) </w:t>
            </w:r>
            <w:r>
              <w:rPr>
                <w:rFonts w:ascii="Times New Roman CYR" w:hAnsi="Times New Roman CYR" w:cs="Times New Roman CYR"/>
                <w:sz w:val="24"/>
                <w:szCs w:val="24"/>
              </w:rPr>
              <w:lastRenderedPageBreak/>
              <w:t>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E0624C" w:rsidTr="00A513C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E0624C" w:rsidTr="00A513C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Заходи, які планується здійснити / </w:t>
            </w:r>
            <w:r>
              <w:rPr>
                <w:rFonts w:ascii="Times New Roman CYR" w:hAnsi="Times New Roman CYR" w:cs="Times New Roman CYR"/>
                <w:sz w:val="24"/>
                <w:szCs w:val="24"/>
              </w:rPr>
              <w:lastRenderedPageBreak/>
              <w:t>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Вiдсутнi</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3</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E0624C" w:rsidTr="00A513C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http://yavornik.emitents.net.ua/ua/docs/?fg_id=102</w:t>
            </w:r>
          </w:p>
        </w:tc>
      </w:tr>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Регулює дiяльнiсть товариства.</w:t>
            </w:r>
          </w:p>
        </w:tc>
        <w:tc>
          <w:tcPr>
            <w:tcW w:w="31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w:t>
            </w:r>
            <w:r>
              <w:rPr>
                <w:rFonts w:ascii="Times New Roman CYR" w:hAnsi="Times New Roman CYR" w:cs="Times New Roman CYR"/>
              </w:rPr>
              <w:lastRenderedPageBreak/>
              <w:t>a/docs/?fg_id=102</w:t>
            </w:r>
          </w:p>
        </w:tc>
      </w:tr>
      <w:tr w:rsidR="00E0624C" w:rsidTr="00A513C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http://yavornik.emitents.net.ua/ua/docs/?fg_id=102</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rPr>
        <w:sectPr w:rsidR="00E0624C">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E0624C" w:rsidTr="00A513C2">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0624C" w:rsidTr="00A513C2">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01.01.2017</w:t>
            </w:r>
          </w:p>
        </w:tc>
      </w:tr>
      <w:tr w:rsidR="00E0624C" w:rsidTr="00A513C2">
        <w:tblPrEx>
          <w:tblCellMar>
            <w:top w:w="0" w:type="dxa"/>
            <w:bottom w:w="0" w:type="dxa"/>
          </w:tblCellMar>
        </w:tblPrEx>
        <w:trPr>
          <w:trHeight w:val="298"/>
        </w:trPr>
        <w:tc>
          <w:tcPr>
            <w:tcW w:w="216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E0624C" w:rsidTr="00A513C2">
        <w:tblPrEx>
          <w:tblCellMar>
            <w:top w:w="0" w:type="dxa"/>
            <w:bottom w:w="0" w:type="dxa"/>
          </w:tblCellMar>
        </w:tblPrEx>
        <w:trPr>
          <w:trHeight w:val="298"/>
        </w:trPr>
        <w:tc>
          <w:tcPr>
            <w:tcW w:w="216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E0624C" w:rsidTr="00A513C2">
        <w:tblPrEx>
          <w:tblCellMar>
            <w:top w:w="0" w:type="dxa"/>
            <w:bottom w:w="0" w:type="dxa"/>
          </w:tblCellMar>
        </w:tblPrEx>
        <w:trPr>
          <w:trHeight w:val="298"/>
        </w:trPr>
        <w:tc>
          <w:tcPr>
            <w:tcW w:w="216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0624C" w:rsidTr="00A513C2">
        <w:tblPrEx>
          <w:tblCellMar>
            <w:top w:w="0" w:type="dxa"/>
            <w:bottom w:w="0" w:type="dxa"/>
          </w:tblCellMar>
        </w:tblPrEx>
        <w:trPr>
          <w:trHeight w:val="298"/>
        </w:trPr>
        <w:tc>
          <w:tcPr>
            <w:tcW w:w="216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E0624C" w:rsidTr="00A513C2">
        <w:tblPrEx>
          <w:tblCellMar>
            <w:top w:w="0" w:type="dxa"/>
            <w:bottom w:w="0" w:type="dxa"/>
          </w:tblCellMar>
        </w:tblPrEx>
        <w:trPr>
          <w:trHeight w:val="298"/>
        </w:trPr>
        <w:tc>
          <w:tcPr>
            <w:tcW w:w="8280" w:type="dxa"/>
            <w:vMerge w:val="restart"/>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98"/>
        </w:trPr>
        <w:tc>
          <w:tcPr>
            <w:tcW w:w="8280" w:type="dxa"/>
            <w:vMerge w:val="restart"/>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31.12.2016 p.</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E0624C" w:rsidTr="00A513C2">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E0624C" w:rsidTr="00A513C2">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13 713</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3 085</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11 343</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10 878</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( 8 258 )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( 8 609 )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19 012</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18 196</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19 146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E0624C" w:rsidTr="00A513C2">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-10 874</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( 469 )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11 697</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7 436</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7 268</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7 449</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7 281</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19 146</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18 330</w:t>
            </w:r>
          </w:p>
        </w:tc>
      </w:tr>
    </w:tbl>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практично на рiвнi минулого року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sectPr w:rsidR="00E0624C">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E0624C" w:rsidTr="00A513C2">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0624C" w:rsidTr="00A513C2">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01.01.2017</w:t>
            </w:r>
          </w:p>
        </w:tc>
      </w:tr>
      <w:tr w:rsidR="00E0624C" w:rsidTr="00A513C2">
        <w:tblPrEx>
          <w:tblCellMar>
            <w:top w:w="0" w:type="dxa"/>
            <w:bottom w:w="0" w:type="dxa"/>
          </w:tblCellMar>
        </w:tblPrEx>
        <w:trPr>
          <w:trHeight w:val="298"/>
        </w:trPr>
        <w:tc>
          <w:tcPr>
            <w:tcW w:w="216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2016 рік</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E0624C" w:rsidTr="00A513C2">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E0624C" w:rsidTr="00A513C2">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E0624C" w:rsidTr="00A513C2">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E0624C" w:rsidTr="00A513C2">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648</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815</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E0624C" w:rsidTr="00A513C2">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Прибуток(збиток) вiдсутнiй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sectPr w:rsidR="00E0624C">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E0624C" w:rsidTr="00A513C2">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0624C" w:rsidTr="00A513C2">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01.01.2017</w:t>
            </w:r>
          </w:p>
        </w:tc>
      </w:tr>
      <w:tr w:rsidR="00E0624C" w:rsidTr="00A513C2">
        <w:tblPrEx>
          <w:tblCellMar>
            <w:top w:w="0" w:type="dxa"/>
            <w:bottom w:w="0" w:type="dxa"/>
          </w:tblCellMar>
        </w:tblPrEx>
        <w:tc>
          <w:tcPr>
            <w:tcW w:w="216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2016 рік</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E0624C" w:rsidTr="00A513C2">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p>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( 167 )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Залишок коштiв  на рахунку вiдсутнiй.</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sectPr w:rsidR="00E0624C">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E0624C" w:rsidTr="00A513C2">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E0624C" w:rsidTr="00A513C2">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01.01.2017</w:t>
            </w:r>
          </w:p>
        </w:tc>
      </w:tr>
      <w:tr w:rsidR="00E0624C" w:rsidTr="00A513C2">
        <w:tblPrEx>
          <w:tblCellMar>
            <w:top w:w="0" w:type="dxa"/>
            <w:bottom w:w="0" w:type="dxa"/>
          </w:tblCellMar>
        </w:tblPrEx>
        <w:tc>
          <w:tcPr>
            <w:tcW w:w="2240" w:type="dxa"/>
            <w:tcBorders>
              <w:top w:val="nil"/>
              <w:left w:val="nil"/>
              <w:bottom w:val="nil"/>
              <w:right w:val="nil"/>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2016 рік</w:t>
      </w:r>
    </w:p>
    <w:p w:rsidR="00E0624C" w:rsidRDefault="00E0624C" w:rsidP="00E0624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E0624C" w:rsidTr="00A513C2">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E0624C" w:rsidRDefault="00E0624C" w:rsidP="00A513C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E0624C" w:rsidTr="00A513C2">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-10 874</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11 697</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-10 874</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11 697</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-648</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-648</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-648</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-648</w:t>
            </w:r>
          </w:p>
        </w:tc>
      </w:tr>
      <w:tr w:rsidR="00E0624C" w:rsidTr="00A513C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E0624C" w:rsidRDefault="00E0624C" w:rsidP="00A513C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2 949</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-11 522</w:t>
            </w:r>
          </w:p>
        </w:tc>
        <w:tc>
          <w:tcPr>
            <w:tcW w:w="15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-469</w:t>
            </w:r>
          </w:p>
        </w:tc>
        <w:tc>
          <w:tcPr>
            <w:tcW w:w="1300" w:type="dxa"/>
            <w:gridSpan w:val="2"/>
            <w:tcBorders>
              <w:top w:val="single" w:sz="6" w:space="0" w:color="auto"/>
              <w:left w:val="single" w:sz="6" w:space="0" w:color="auto"/>
              <w:bottom w:val="single" w:sz="6" w:space="0" w:color="auto"/>
              <w:right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E0624C" w:rsidRDefault="00E0624C" w:rsidP="00A513C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11 049</w:t>
            </w:r>
          </w:p>
        </w:tc>
      </w:tr>
    </w:tbl>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sectPr w:rsidR="00E0624C">
          <w:pgSz w:w="16838" w:h="11906" w:orient="landscape"/>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rPr>
        <w:sectPr w:rsidR="00E0624C">
          <w:pgSz w:w="16838" w:h="11906" w:orient="landscape"/>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31.12.2016 р., складає 10878 тис. грн. Знос станом на 31.12.2016 р. складає 8609 тис.грн., залишкова вартiсть основних засобiв станом на 31.12.2016 р. - 2269 тис. 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вiдображеннi у облiку руху основних засобiв порушень не визначено.</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31.12.2016 р. вiдповiдно МСФЗ не переоцiнена та вiдображена в облiку по залишковiй вартостi.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-13713 тис.грн.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року на 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До складу малоцiнних необоротних активiв включалися активи вартiстю до 2500 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31.12.2016 р. на балансi Товариства облiковується : 31 тис. 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31</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31</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31.12.2016 р. немає. Резерв сумнiвних боргiв не розраховувся.</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поточна дебiторська заборгованiсть станом на 31.12.2016р. складає 103 тис.грн.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31.12.2016 року залишок грошових коштiв в нацiональнiй валютi становить 0.00 тис. 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(нова редакцiя)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 роботи, послуги 7436 </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бюджетом 0 0</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зi страхування 0</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розрахунками з оплати працi 0</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Iншi поточнi зобов'язання 13 Поточна</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7449</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поточну кредиторську заборгованiсть за товари, роботи, послуги, iншi поточнi зобов'язання та довгостроковi фiнансовi зобов'язання для перевiрки надавалась, але в аудиторському висновку не вiдображається в зв'язку з тим, що становить комерцiйну таємницю Товариства.</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розрахункiв з пiдзвiтними особами ведеться згiдно первинних документiв. Перевiркою не встановлено порушень ведення облiку розрахункiв з пiдзвiтними особами.</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Визначення, облiк та оцiнка зобов`язань вiдповiдає, прийнятiй на Товариствi полiтицi. Вибiркова перевiрка дає змогу зробити висновок, що у всiх суттєвих аспектах зобов`язання Товариства у бухгалтерському облiку вiдображенi у повному обсязi та вiдповiдають розмiру визнаних засобiв чи витрат.</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E0624C" w:rsidRDefault="00E0624C" w:rsidP="00E0624C">
      <w:pPr>
        <w:widowControl w:val="0"/>
        <w:autoSpaceDE w:val="0"/>
        <w:autoSpaceDN w:val="0"/>
        <w:adjustRightInd w:val="0"/>
        <w:spacing w:after="0" w:line="240" w:lineRule="auto"/>
        <w:jc w:val="both"/>
        <w:rPr>
          <w:rFonts w:ascii="Times New Roman CYR" w:hAnsi="Times New Roman CYR" w:cs="Times New Roman CYR"/>
          <w:sz w:val="24"/>
          <w:szCs w:val="24"/>
        </w:rPr>
        <w:sectPr w:rsidR="00E0624C">
          <w:pgSz w:w="16838" w:h="11906" w:orient="landscape"/>
          <w:pgMar w:top="570" w:right="720" w:bottom="570" w:left="720" w:header="708" w:footer="708" w:gutter="0"/>
          <w:cols w:space="720"/>
          <w:noEndnote/>
        </w:sect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E0624C" w:rsidRDefault="00E0624C" w:rsidP="00E0624C">
      <w:pPr>
        <w:widowControl w:val="0"/>
        <w:autoSpaceDE w:val="0"/>
        <w:autoSpaceDN w:val="0"/>
        <w:adjustRightInd w:val="0"/>
        <w:spacing w:after="0" w:line="240" w:lineRule="auto"/>
        <w:rPr>
          <w:rFonts w:ascii="Times New Roman CYR" w:hAnsi="Times New Roman CYR" w:cs="Times New Roman CYR"/>
          <w:sz w:val="24"/>
          <w:szCs w:val="24"/>
        </w:rPr>
      </w:pPr>
    </w:p>
    <w:p w:rsidR="00806305" w:rsidRPr="00E0624C" w:rsidRDefault="00806305" w:rsidP="00E0624C"/>
    <w:sectPr w:rsidR="00806305" w:rsidRPr="00E0624C">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F4D5D"/>
    <w:rsid w:val="00096B3E"/>
    <w:rsid w:val="001F4D5D"/>
    <w:rsid w:val="00322E41"/>
    <w:rsid w:val="00415B8A"/>
    <w:rsid w:val="0061600F"/>
    <w:rsid w:val="006B1324"/>
    <w:rsid w:val="006D524E"/>
    <w:rsid w:val="00806305"/>
    <w:rsid w:val="008A18D3"/>
    <w:rsid w:val="00CF076A"/>
    <w:rsid w:val="00D91AE1"/>
    <w:rsid w:val="00DB59EA"/>
    <w:rsid w:val="00DF3022"/>
    <w:rsid w:val="00E0624C"/>
    <w:rsid w:val="00FD6B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D5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52</Pages>
  <Words>63362</Words>
  <Characters>36117</Characters>
  <Application>Microsoft Office Word</Application>
  <DocSecurity>0</DocSecurity>
  <Lines>300</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99281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9</cp:revision>
  <dcterms:created xsi:type="dcterms:W3CDTF">2025-09-29T12:12:00Z</dcterms:created>
  <dcterms:modified xsi:type="dcterms:W3CDTF">2025-10-01T09:33:00Z</dcterms:modified>
</cp:coreProperties>
</file>